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935E2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腾冲市人民医院助听器配置室场地公开招租文件</w:t>
      </w:r>
    </w:p>
    <w:p w14:paraId="24C2016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</w:p>
    <w:p w14:paraId="65E2F22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第一章 总则</w:t>
      </w:r>
    </w:p>
    <w:p w14:paraId="6B3CC4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第一条 为规范腾冲市人民医院助听器配置室场地租赁经营行为，保障出租方与承租方合法权益，本着公开、公平、公正、诚实信用的原则，根据《中华人民共和国民法典》《行政事业单位国有资产租赁管理办法》等相关规定，结合医院实际，制定本招租文件。</w:t>
      </w:r>
    </w:p>
    <w:p w14:paraId="7A0A410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第二条 本招租文件适用于本次助听器配置室场地公开竞价招租活动，所有参与竞租的单位必须严格遵守本文件各项规定。</w:t>
      </w:r>
    </w:p>
    <w:p w14:paraId="00BDBF7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第三条 本次招租标的为医院配套便民医疗服务场地，租赁经营旨在为就诊患者提供专业、便捷、正规的助听器验配配套服务，提升医院便民服务能力，不得用于其他经营用途。</w:t>
      </w:r>
    </w:p>
    <w:p w14:paraId="784C2AA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第二章 招租标的详细信息</w:t>
      </w:r>
    </w:p>
    <w:p w14:paraId="66D8AF6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default" w:ascii="宋体" w:hAnsi="宋体" w:eastAsia="宋体" w:cs="宋体"/>
          <w:color w:val="auto"/>
          <w:sz w:val="24"/>
          <w:szCs w:val="24"/>
          <w:lang w:val="en-US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1. 标的名称：腾冲市人民医院门诊楼助听器配置室场地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 w:bidi="ar"/>
        </w:rPr>
        <w:t>招租项目。</w:t>
      </w:r>
    </w:p>
    <w:p w14:paraId="0AC21F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default" w:ascii="宋体" w:hAnsi="宋体" w:eastAsia="宋体" w:cs="宋体"/>
          <w:color w:val="auto"/>
          <w:sz w:val="24"/>
          <w:szCs w:val="24"/>
          <w:lang w:val="en-US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2. 场地位置：医院门诊楼耳鼻咽喉科配套功能区域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 w:bidi="ar"/>
        </w:rPr>
        <w:t>，</w:t>
      </w:r>
      <w:r>
        <w:rPr>
          <w:rFonts w:hint="eastAsia" w:ascii="宋体" w:hAnsi="宋体" w:cs="宋体"/>
          <w:color w:val="auto"/>
          <w:kern w:val="0"/>
          <w:sz w:val="24"/>
        </w:rPr>
        <w:t>面积为21.13㎡</w:t>
      </w:r>
      <w:r>
        <w:rPr>
          <w:rFonts w:hint="eastAsia" w:ascii="宋体" w:hAnsi="宋体" w:cs="宋体"/>
          <w:kern w:val="0"/>
          <w:sz w:val="24"/>
        </w:rPr>
        <w:t>。</w:t>
      </w:r>
    </w:p>
    <w:p w14:paraId="4B4EC7F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3. 场地现状：场地平整，基础配套设施齐全，可直接用于助听器验配、设备展示、客户接待、设备调试维修等经营活动。</w:t>
      </w:r>
    </w:p>
    <w:p w14:paraId="6F96C50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4. 经营限制：仅限助听器及配套辅具销售、听力检测咨询、助听器验配、调试、维修、保养、售后回访等相关便民医疗服务，严禁开展药品销售、诊疗服务、医美、保健品销售等超范围经营项目，严禁从事任何违法违规、影响医院医疗秩序的经营活动。</w:t>
      </w:r>
    </w:p>
    <w:p w14:paraId="75467A13">
      <w:pPr>
        <w:keepNext w:val="0"/>
        <w:keepLines w:val="0"/>
        <w:pageBreakBefore w:val="0"/>
        <w:widowControl w:val="0"/>
        <w:tabs>
          <w:tab w:val="left" w:pos="203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5. 租赁期限：共计3年，实行年度考核续签制度。第一年考核合格后续签第二年合同，第二年考核合格后续签第三年合同。年度考核不合格，医院有权无条件终止租赁，不予续签。</w:t>
      </w:r>
    </w:p>
    <w:p w14:paraId="30EB31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第三章 竞租人资格与要求</w:t>
      </w:r>
    </w:p>
    <w:p w14:paraId="7DB9AE1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default" w:ascii="宋体" w:hAnsi="宋体" w:eastAsia="宋体" w:cs="宋体"/>
          <w:color w:val="auto"/>
          <w:sz w:val="24"/>
          <w:szCs w:val="24"/>
          <w:lang w:val="en-US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1. 具有独立法人资格的企业或合法个体工商户，具备独立承担民事责任的能力，持有有效的营业执照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 w:bidi="ar"/>
        </w:rPr>
        <w:t>；具备第二类医疗器械经营备案凭证；涉及第三类需提供医疗器械经营许可证。</w:t>
      </w:r>
    </w:p>
    <w:p w14:paraId="7AA12E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2. 拥有固定的专业验配团队：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 w:bidi="ar"/>
        </w:rPr>
        <w:t>主管人员具备三级验配师资格，驻场验配师具备国家助听器验配师职业资格证书三级/高级工及以上，至少1名持证人员常驻服务，所有服务人员需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熟悉医疗场所经营管理规范，有正规的进货渠道、完善的售后保障体系。</w:t>
      </w:r>
    </w:p>
    <w:p w14:paraId="00BDEE2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 xml:space="preserve">3. 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 w:bidi="ar"/>
        </w:rPr>
        <w:t>近3年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无违法违规经营记录、无失信被执行人记录、无重大质量投诉及医疗相关不良经营记录，遵守医院各项规章制度。</w:t>
      </w:r>
    </w:p>
    <w:p w14:paraId="77F4018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4. 不接受个人单独竞租、不接受联合体竞租，严禁转租、分租、转借租赁场地。</w:t>
      </w:r>
    </w:p>
    <w:p w14:paraId="40C6E7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 w:bidi="ar"/>
        </w:rPr>
        <w:t>5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. 遵循医院管理规定，承诺配合医院疫情防控、环境卫生、消防安全、医疗秩序管理等各项工作。</w:t>
      </w:r>
    </w:p>
    <w:p w14:paraId="09369C9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第四章 竞价规则与流程</w:t>
      </w:r>
    </w:p>
    <w:p w14:paraId="39B362C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1. 竞价方式：采用现场公开竞价方式，以年度租金为竞价标的，遵循价高者得原则。</w:t>
      </w:r>
    </w:p>
    <w:p w14:paraId="01F8C6B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2. 竞价底价：本次招租年度租金底价为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lang w:val="en-US" w:eastAsia="zh-CN" w:bidi="ar"/>
        </w:rPr>
        <w:t>92360.00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元。</w:t>
      </w:r>
    </w:p>
    <w:p w14:paraId="637619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3. 竞价阶梯：每次加价幅度不低于500元/年，可多次加价，无上限。</w:t>
      </w:r>
    </w:p>
    <w:p w14:paraId="4845BF7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4. 竞价流程：</w:t>
      </w:r>
    </w:p>
    <w:p w14:paraId="28AE947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（1）资格审核：医院对报名单位资料进行审核，审核通过方可参与现场竞价；</w:t>
      </w:r>
    </w:p>
    <w:p w14:paraId="168E645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（2）现场签到：竞价当天，竞租人凭身份证、授权委托书签到入场；</w:t>
      </w:r>
    </w:p>
    <w:p w14:paraId="18E8F73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（3）宣读规则：现场工作人员宣读竞价规则、注意事项及场地租赁要求；</w:t>
      </w:r>
    </w:p>
    <w:p w14:paraId="3BB5855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（4）公开竞价：各竞租人现场报价，最高报价者为中标候选人；</w:t>
      </w:r>
    </w:p>
    <w:p w14:paraId="245641F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（5）结果公示：竞价结果在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腾冲市人民医院官方网站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（https://www.tcsrmyy.cn/）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公示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 w:bidi="ar"/>
        </w:rPr>
        <w:t>1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个工作日，无异议后确定中标单位。</w:t>
      </w:r>
    </w:p>
    <w:p w14:paraId="67A2AA2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5. 出现以下情况视为竞价无效：恶意串标、围标；报价低于底价；未按时到场、中途退场；提供虚假资料参与竞价。</w:t>
      </w:r>
    </w:p>
    <w:p w14:paraId="19EEADB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第五章 费用及履约管理</w:t>
      </w:r>
    </w:p>
    <w:p w14:paraId="26B57ED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1. 租金支付：租金按年度支付，中标单位需在合同签订前一次性付清首年度租金，后续每年租金提前15日足额缴纳，逾期未缴纳视为违约，医院有权解除合同。</w:t>
      </w:r>
    </w:p>
    <w:p w14:paraId="30A1AB5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2.履约保证金：中标单位的履约保证金为合同金额的5%，租赁期满，无违约、无欠费、无设施损坏的情况下无息全额退还；若存在违约、欠费、场地损坏等情况，医院有权从履约保证金中抵扣相应费用。</w:t>
      </w:r>
    </w:p>
    <w:p w14:paraId="2951A20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3. 其他费用：租赁期间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 w:bidi="ar"/>
        </w:rPr>
        <w:t>产生的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水电费、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 w:bidi="ar"/>
        </w:rPr>
        <w:t>通信费（网费）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等所有经营性费用，均由承租方自行承担，按月/按规定按时缴纳。</w:t>
      </w:r>
    </w:p>
    <w:p w14:paraId="4840A28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第六章 租赁双方权利与义务</w:t>
      </w:r>
    </w:p>
    <w:p w14:paraId="516F8EA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一、出租方（腾冲市人民医院）权利与义务</w:t>
      </w:r>
    </w:p>
    <w:p w14:paraId="4E75D0C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1. 按照合同约定提供现状完好的租赁场地，保障场地正常使用基础条件。</w:t>
      </w:r>
    </w:p>
    <w:p w14:paraId="393CB73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2. 有权对承租方经营资质、经营范围、服务质量、环境卫生、消防安全、规章制度执行情况进行日常监督、检查、考核。</w:t>
      </w:r>
    </w:p>
    <w:p w14:paraId="0428FF7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3. 有权对承租方违规经营、超范围经营、破坏场地设施、影响医院秩序等行为进行制止、责令整改，情节严重的可单方解除租赁合同、没收履约保证金。</w:t>
      </w:r>
    </w:p>
    <w:p w14:paraId="25D784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4. 配合承租方开展合法合规的正常经营活动，提供必要的院内通行、场地使用便利。</w:t>
      </w:r>
    </w:p>
    <w:p w14:paraId="61396B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二、承租方权利与义务</w:t>
      </w:r>
    </w:p>
    <w:p w14:paraId="366C0DD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1. 在核定范围内合法合规经营，严格遵守医疗器械经营相关法律法规，保证产品质量和服务规范，杜绝虚假宣传、价格欺诈、强制消费等行为。</w:t>
      </w:r>
    </w:p>
    <w:p w14:paraId="3A9D7B2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2. 自行办理经营所需的各类备案、许可、年检手续，承担全部经营风险和法律责任。</w:t>
      </w:r>
    </w:p>
    <w:p w14:paraId="2E4264B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3. 爱护场地及附属设施，不得擅自改造、拆除、装修房屋结构，如需简易装修、摆放设备，需提前提交方案，经医院审核同意后方可实施，租赁期满后无偿恢复原状或归医院所有。</w:t>
      </w:r>
    </w:p>
    <w:p w14:paraId="28282C2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4. 严格落实消防安全、环境卫生责任制，保持场地整洁有序，做好设备安全管理，杜绝安全隐患，承担租赁期间全部安全责任。</w:t>
      </w:r>
    </w:p>
    <w:p w14:paraId="1246C07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5. 不得转租、分租、转借场地，不得擅自更换经营主体，不得转让租赁经营权。</w:t>
      </w:r>
    </w:p>
    <w:p w14:paraId="789A67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6. 自觉接受医院日常管理、检查与考核，积极配合医院的医疗服务、疫情防控、环境整治、应急处置等工作。</w:t>
      </w:r>
    </w:p>
    <w:p w14:paraId="1A52288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default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 w:bidi="ar"/>
        </w:rPr>
        <w:t>7. 租赁期间需明码标价、院内价格不高于院外价格、禁止价格欺诈与诱导院外消费，并且明确告知患者助听器不纳入医保报销范围。</w:t>
      </w:r>
    </w:p>
    <w:p w14:paraId="6B6136E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 w:bidi="ar"/>
        </w:rPr>
        <w:t>8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. 租赁期满，需无条件清空场地、恢复原状，完好移交医院，逾期未移交视为自动放弃遗留物品，由医院无偿处置。</w:t>
      </w:r>
    </w:p>
    <w:p w14:paraId="158E381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第七章 合同解除与违约责任</w:t>
      </w:r>
    </w:p>
    <w:p w14:paraId="3E2DFA4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1. 承租方有下列情形之一的，医院有权单方解除租赁合同，没收履约保证金，终止租赁资格，且三年内不得参与医院各类场地招租：</w:t>
      </w:r>
    </w:p>
    <w:p w14:paraId="0938EB4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（1）超范围经营、违规经营，售卖不合格产品，被监管部门处罚或造成不良社会影响的；</w:t>
      </w:r>
    </w:p>
    <w:p w14:paraId="32560B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（2）擅自转租、分租、改造场地结构的；</w:t>
      </w:r>
    </w:p>
    <w:p w14:paraId="6A68458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（3）拖欠租金、水电费等各项费用超过15日的；</w:t>
      </w:r>
    </w:p>
    <w:p w14:paraId="15588F6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（4）服务质量差、投诉频发，整改后仍无改善的；</w:t>
      </w:r>
    </w:p>
    <w:p w14:paraId="45ADD35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（5）违反医院规章制度，扰乱医疗秩序、存在重大安全隐患且拒不整改的；</w:t>
      </w:r>
    </w:p>
    <w:p w14:paraId="52AD22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（6）提供虚假资料参与竞租、恶意竞争的。</w:t>
      </w:r>
    </w:p>
    <w:p w14:paraId="2C5EE0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2. 医院无正当理由不得单方终止合规有效的租赁合同，因医院整体规划、政策调整需提前终止合同的，提前30日书面通知承租方，无息退还剩余租金及履约保证金，不承担其他赔偿责任。</w:t>
      </w:r>
    </w:p>
    <w:p w14:paraId="0BC519D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3. 承租方中途无故退租的，已缴租金及履约保证金不予退还。</w:t>
      </w:r>
    </w:p>
    <w:p w14:paraId="53EEAEE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第八章 其他约定</w:t>
      </w:r>
    </w:p>
    <w:p w14:paraId="328015C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1. 本项目不接受联合体竞租，中标后不得转包经营。</w:t>
      </w:r>
    </w:p>
    <w:p w14:paraId="46E059F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2. 租赁期间，因政策调整、医院整体搬迁、场地改造、公益建设等不可抗力因素导致合同无法继续履行的，双方互不承担违约责任，按实际租赁时间结算费用。</w:t>
      </w:r>
    </w:p>
    <w:p w14:paraId="6849764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3. 承租方经营产生的一切纠纷、投诉、法律责任、经济赔偿均由承租方自行承担，与医院无关，若给医院造成损失的，需全额赔偿。</w:t>
      </w:r>
    </w:p>
    <w:p w14:paraId="3B368BC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4. 本招租文件为后续租赁合同的组成部分，与租赁合同具有同等法律效力。</w:t>
      </w:r>
    </w:p>
    <w:p w14:paraId="4164409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5. 未尽事宜由双方协商确定，协商不成可向项目所在地人民法院提起诉讼。</w:t>
      </w:r>
    </w:p>
    <w:p w14:paraId="3B075D3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6. 本招租文件最终解释权归腾冲市人民医院所有。</w:t>
      </w:r>
    </w:p>
    <w:p w14:paraId="1E9AD8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4710B4E8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604E1"/>
    <w:rsid w:val="04B74C29"/>
    <w:rsid w:val="16157A01"/>
    <w:rsid w:val="18E223E6"/>
    <w:rsid w:val="3CFB3076"/>
    <w:rsid w:val="49530E76"/>
    <w:rsid w:val="73BF0ED7"/>
    <w:rsid w:val="7F91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2705</Words>
  <Characters>2783</Characters>
  <Lines>0</Lines>
  <Paragraphs>0</Paragraphs>
  <TotalTime>0</TotalTime>
  <ScaleCrop>false</ScaleCrop>
  <LinksUpToDate>false</LinksUpToDate>
  <CharactersWithSpaces>2832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2026-06-02T08:34:00Z</dcterms:created>
  <dc:creator>Administrator</dc:creator>
  <cp:lastModifiedBy>悠幽</cp:lastModifiedBy>
  <dcterms:modified xsi:type="dcterms:W3CDTF">2026-06-19T08:57:50Z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eyJoZGlkIjoiYmI4NWNhNzZiYjE5ODFlYWZhZmQ0NDA1YzhkMDZlYzQiLCJ1c2VySWQiOiIxMTU2Njk0NjkyIn0=</vt:lpwstr>
  </property>
  <property fmtid="{D5CDD505-2E9C-101B-9397-08002B2CF9AE}" pid="4" name="ICV">
    <vt:lpwstr>476A2CCF32144B8F99D4830169D78017_13</vt:lpwstr>
  </property>
</Properties>
</file>