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cs="宋体"/>
          <w:b/>
          <w:bCs/>
          <w:sz w:val="28"/>
          <w:szCs w:val="28"/>
          <w:lang w:val="en-US" w:eastAsia="zh-CN"/>
        </w:rPr>
      </w:pPr>
      <w:r>
        <w:rPr>
          <w:rFonts w:hint="eastAsia" w:asciiTheme="majorEastAsia" w:hAnsiTheme="majorEastAsia" w:eastAsiaTheme="majorEastAsia" w:cstheme="majorEastAsia"/>
          <w:sz w:val="30"/>
          <w:szCs w:val="30"/>
          <w:lang w:val="en-US" w:eastAsia="zh-CN"/>
        </w:rPr>
        <w:t xml:space="preserve">附件一：  </w:t>
      </w:r>
      <w:r>
        <w:rPr>
          <w:rFonts w:hint="eastAsia" w:ascii="宋体" w:hAnsi="宋体" w:cs="宋体"/>
          <w:b/>
          <w:bCs/>
          <w:sz w:val="30"/>
          <w:szCs w:val="30"/>
          <w:lang w:val="en-US" w:eastAsia="zh-CN"/>
        </w:rPr>
        <w:t>主洗剂、助洗剂采购需求</w:t>
      </w:r>
    </w:p>
    <w:p>
      <w:pPr>
        <w:pStyle w:val="3"/>
        <w:rPr>
          <w:rFonts w:hint="eastAsia"/>
          <w:lang w:val="en-US" w:eastAsia="zh-CN"/>
        </w:rPr>
      </w:pPr>
    </w:p>
    <w:tbl>
      <w:tblPr>
        <w:tblStyle w:val="10"/>
        <w:tblpPr w:leftFromText="180" w:rightFromText="180" w:vertAnchor="text" w:horzAnchor="page" w:tblpX="1215" w:tblpY="15"/>
        <w:tblOverlap w:val="never"/>
        <w:tblW w:w="9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940"/>
        <w:gridCol w:w="1737"/>
        <w:gridCol w:w="1950"/>
        <w:gridCol w:w="1802"/>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4" w:hRule="atLeast"/>
        </w:trPr>
        <w:tc>
          <w:tcPr>
            <w:tcW w:w="438" w:type="dxa"/>
            <w:vAlign w:val="center"/>
          </w:tcPr>
          <w:p>
            <w:pPr>
              <w:numPr>
                <w:ilvl w:val="0"/>
                <w:numId w:val="0"/>
              </w:numPr>
              <w:jc w:val="center"/>
              <w:rPr>
                <w:rFonts w:hint="default"/>
                <w:vertAlign w:val="baseline"/>
                <w:lang w:val="en-US" w:eastAsia="zh-CN"/>
              </w:rPr>
            </w:pPr>
            <w:r>
              <w:rPr>
                <w:rFonts w:hint="eastAsia"/>
                <w:vertAlign w:val="baseline"/>
                <w:lang w:val="en-US" w:eastAsia="zh-CN"/>
              </w:rPr>
              <w:t>序号</w:t>
            </w:r>
          </w:p>
        </w:tc>
        <w:tc>
          <w:tcPr>
            <w:tcW w:w="940" w:type="dxa"/>
            <w:vAlign w:val="center"/>
          </w:tcPr>
          <w:p>
            <w:pPr>
              <w:numPr>
                <w:ilvl w:val="0"/>
                <w:numId w:val="0"/>
              </w:numPr>
              <w:jc w:val="center"/>
              <w:rPr>
                <w:rFonts w:hint="default"/>
                <w:vertAlign w:val="baseline"/>
                <w:lang w:val="en-US" w:eastAsia="zh-CN"/>
              </w:rPr>
            </w:pPr>
            <w:r>
              <w:rPr>
                <w:rFonts w:hint="eastAsia"/>
                <w:vertAlign w:val="baseline"/>
                <w:lang w:val="en-US" w:eastAsia="zh-CN"/>
              </w:rPr>
              <w:t>物资名称</w:t>
            </w:r>
          </w:p>
        </w:tc>
        <w:tc>
          <w:tcPr>
            <w:tcW w:w="1737" w:type="dxa"/>
            <w:vAlign w:val="center"/>
          </w:tcPr>
          <w:p>
            <w:pPr>
              <w:numPr>
                <w:ilvl w:val="0"/>
                <w:numId w:val="0"/>
              </w:numPr>
              <w:jc w:val="center"/>
              <w:rPr>
                <w:rFonts w:hint="default"/>
                <w:vertAlign w:val="baseline"/>
                <w:lang w:val="en-US" w:eastAsia="zh-CN"/>
              </w:rPr>
            </w:pPr>
            <w:r>
              <w:rPr>
                <w:rFonts w:hint="eastAsia"/>
                <w:vertAlign w:val="baseline"/>
                <w:lang w:val="en-US" w:eastAsia="zh-CN"/>
              </w:rPr>
              <w:t>预估数量</w:t>
            </w:r>
          </w:p>
        </w:tc>
        <w:tc>
          <w:tcPr>
            <w:tcW w:w="1950" w:type="dxa"/>
            <w:vAlign w:val="center"/>
          </w:tcPr>
          <w:p>
            <w:pPr>
              <w:numPr>
                <w:ilvl w:val="0"/>
                <w:numId w:val="0"/>
              </w:numPr>
              <w:jc w:val="center"/>
              <w:rPr>
                <w:rFonts w:hint="default"/>
                <w:vertAlign w:val="baseline"/>
                <w:lang w:val="en-US" w:eastAsia="zh-CN"/>
              </w:rPr>
            </w:pPr>
            <w:r>
              <w:rPr>
                <w:rFonts w:hint="eastAsia"/>
                <w:vertAlign w:val="baseline"/>
                <w:lang w:val="en-US" w:eastAsia="zh-CN"/>
              </w:rPr>
              <w:t>预算单价（元）</w:t>
            </w:r>
          </w:p>
        </w:tc>
        <w:tc>
          <w:tcPr>
            <w:tcW w:w="1802" w:type="dxa"/>
            <w:vAlign w:val="center"/>
          </w:tcPr>
          <w:p>
            <w:pPr>
              <w:numPr>
                <w:ilvl w:val="0"/>
                <w:numId w:val="0"/>
              </w:numPr>
              <w:jc w:val="center"/>
              <w:rPr>
                <w:rFonts w:hint="default"/>
                <w:vertAlign w:val="baseline"/>
                <w:lang w:val="en-US" w:eastAsia="zh-CN"/>
              </w:rPr>
            </w:pPr>
            <w:r>
              <w:rPr>
                <w:rFonts w:hint="eastAsia"/>
                <w:vertAlign w:val="baseline"/>
                <w:lang w:val="en-US" w:eastAsia="zh-CN"/>
              </w:rPr>
              <w:t>预算合计（元）</w:t>
            </w:r>
          </w:p>
        </w:tc>
        <w:tc>
          <w:tcPr>
            <w:tcW w:w="2993" w:type="dxa"/>
            <w:vAlign w:val="center"/>
          </w:tcPr>
          <w:p>
            <w:pPr>
              <w:numPr>
                <w:ilvl w:val="0"/>
                <w:numId w:val="0"/>
              </w:numPr>
              <w:jc w:val="center"/>
              <w:rPr>
                <w:rFonts w:hint="default"/>
                <w:vertAlign w:val="baseline"/>
                <w:lang w:val="en-US" w:eastAsia="zh-CN"/>
              </w:rPr>
            </w:pPr>
            <w:r>
              <w:rPr>
                <w:rFonts w:hint="eastAsia"/>
                <w:vertAlign w:val="baseline"/>
                <w:lang w:val="en-US" w:eastAsia="zh-CN"/>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4" w:hRule="atLeast"/>
        </w:trPr>
        <w:tc>
          <w:tcPr>
            <w:tcW w:w="438" w:type="dxa"/>
            <w:vAlign w:val="center"/>
          </w:tcPr>
          <w:p>
            <w:pPr>
              <w:numPr>
                <w:ilvl w:val="0"/>
                <w:numId w:val="0"/>
              </w:numPr>
              <w:jc w:val="center"/>
              <w:rPr>
                <w:rFonts w:hint="default"/>
                <w:vertAlign w:val="baseline"/>
                <w:lang w:val="en-US" w:eastAsia="zh-CN"/>
              </w:rPr>
            </w:pPr>
            <w:r>
              <w:rPr>
                <w:rFonts w:hint="eastAsia"/>
                <w:vertAlign w:val="baseline"/>
                <w:lang w:val="en-US" w:eastAsia="zh-CN"/>
              </w:rPr>
              <w:t>1</w:t>
            </w:r>
          </w:p>
        </w:tc>
        <w:tc>
          <w:tcPr>
            <w:tcW w:w="940" w:type="dxa"/>
            <w:vAlign w:val="center"/>
          </w:tcPr>
          <w:p>
            <w:pPr>
              <w:numPr>
                <w:ilvl w:val="0"/>
                <w:numId w:val="0"/>
              </w:numPr>
              <w:jc w:val="center"/>
              <w:rPr>
                <w:rFonts w:hint="default"/>
                <w:vertAlign w:val="baseline"/>
                <w:lang w:val="en-US" w:eastAsia="zh-CN"/>
              </w:rPr>
            </w:pPr>
            <w:r>
              <w:rPr>
                <w:rFonts w:hint="eastAsia"/>
                <w:lang w:val="en-US" w:eastAsia="zh-CN"/>
              </w:rPr>
              <w:t>主洗剂</w:t>
            </w:r>
          </w:p>
        </w:tc>
        <w:tc>
          <w:tcPr>
            <w:tcW w:w="1737" w:type="dxa"/>
            <w:vAlign w:val="center"/>
          </w:tcPr>
          <w:p>
            <w:pPr>
              <w:numPr>
                <w:ilvl w:val="0"/>
                <w:numId w:val="0"/>
              </w:numPr>
              <w:jc w:val="center"/>
              <w:rPr>
                <w:rFonts w:hint="default"/>
                <w:vertAlign w:val="baseline"/>
                <w:lang w:val="en-US" w:eastAsia="zh-CN"/>
              </w:rPr>
            </w:pPr>
            <w:r>
              <w:rPr>
                <w:rFonts w:hint="eastAsia"/>
                <w:vertAlign w:val="baseline"/>
                <w:lang w:val="en-US" w:eastAsia="zh-CN"/>
              </w:rPr>
              <w:t>1175kg</w:t>
            </w:r>
          </w:p>
        </w:tc>
        <w:tc>
          <w:tcPr>
            <w:tcW w:w="1950" w:type="dxa"/>
            <w:vAlign w:val="center"/>
          </w:tcPr>
          <w:p>
            <w:pPr>
              <w:numPr>
                <w:ilvl w:val="0"/>
                <w:numId w:val="0"/>
              </w:numPr>
              <w:jc w:val="center"/>
              <w:rPr>
                <w:rFonts w:hint="default"/>
                <w:vertAlign w:val="baseline"/>
                <w:lang w:val="en-US" w:eastAsia="zh-CN"/>
              </w:rPr>
            </w:pPr>
            <w:r>
              <w:rPr>
                <w:rFonts w:hint="eastAsia"/>
                <w:vertAlign w:val="baseline"/>
                <w:lang w:val="en-US" w:eastAsia="zh-CN"/>
              </w:rPr>
              <w:t>14.00</w:t>
            </w:r>
          </w:p>
        </w:tc>
        <w:tc>
          <w:tcPr>
            <w:tcW w:w="1802" w:type="dxa"/>
            <w:vAlign w:val="center"/>
          </w:tcPr>
          <w:p>
            <w:pPr>
              <w:numPr>
                <w:ilvl w:val="0"/>
                <w:numId w:val="0"/>
              </w:numPr>
              <w:jc w:val="center"/>
              <w:rPr>
                <w:rFonts w:hint="default"/>
                <w:sz w:val="21"/>
                <w:szCs w:val="24"/>
                <w:lang w:val="en-US" w:eastAsia="zh-CN"/>
              </w:rPr>
            </w:pPr>
            <w:r>
              <w:rPr>
                <w:rFonts w:hint="eastAsia"/>
                <w:sz w:val="21"/>
                <w:szCs w:val="24"/>
                <w:lang w:val="en-US" w:eastAsia="zh-CN"/>
              </w:rPr>
              <w:t>16450.00</w:t>
            </w:r>
          </w:p>
        </w:tc>
        <w:tc>
          <w:tcPr>
            <w:tcW w:w="2993" w:type="dxa"/>
            <w:vMerge w:val="restart"/>
            <w:vAlign w:val="center"/>
          </w:tcPr>
          <w:p>
            <w:pPr>
              <w:numPr>
                <w:ilvl w:val="0"/>
                <w:numId w:val="0"/>
              </w:numPr>
              <w:rPr>
                <w:rFonts w:hint="eastAsia"/>
                <w:lang w:val="en-US" w:eastAsia="zh-CN"/>
              </w:rPr>
            </w:pPr>
            <w:r>
              <w:rPr>
                <w:rFonts w:hint="eastAsia"/>
                <w:lang w:val="en-US" w:eastAsia="zh-CN"/>
              </w:rPr>
              <w:t>1、外观：不分层，无明显悬浮物和沉淀，无机械杂质的均匀液体。</w:t>
            </w:r>
          </w:p>
          <w:p>
            <w:pPr>
              <w:numPr>
                <w:ilvl w:val="0"/>
                <w:numId w:val="0"/>
              </w:numPr>
              <w:rPr>
                <w:rFonts w:hint="eastAsia"/>
              </w:rPr>
            </w:pPr>
            <w:r>
              <w:rPr>
                <w:rFonts w:hint="eastAsia"/>
                <w:lang w:val="en-US" w:eastAsia="zh-CN"/>
              </w:rPr>
              <w:t>2、PH值符合国家行业标准，确保有效的去污和消毒辅助作用。</w:t>
            </w:r>
          </w:p>
          <w:p>
            <w:pPr>
              <w:numPr>
                <w:ilvl w:val="0"/>
                <w:numId w:val="0"/>
              </w:numPr>
              <w:jc w:val="both"/>
              <w:rPr>
                <w:rFonts w:hint="eastAsia"/>
                <w:lang w:val="en-US" w:eastAsia="zh-CN"/>
              </w:rPr>
            </w:pPr>
            <w:r>
              <w:rPr>
                <w:rFonts w:hint="default"/>
                <w:lang w:val="en-US" w:eastAsia="zh-CN"/>
              </w:rPr>
              <w:t>3、</w:t>
            </w:r>
            <w:r>
              <w:rPr>
                <w:rFonts w:hint="eastAsia"/>
                <w:lang w:eastAsia="zh-CN"/>
              </w:rPr>
              <w:t>总活性物</w:t>
            </w:r>
            <w:r>
              <w:rPr>
                <w:rFonts w:hint="eastAsia"/>
                <w:lang w:val="en-US" w:eastAsia="zh-CN"/>
              </w:rPr>
              <w:t>符合相应国标级行业通用标准。</w:t>
            </w:r>
          </w:p>
          <w:p>
            <w:pPr>
              <w:pStyle w:val="2"/>
              <w:rPr>
                <w:rFonts w:hint="default"/>
                <w:lang w:val="en-US" w:eastAsia="zh-CN"/>
              </w:rPr>
            </w:pPr>
            <w:r>
              <w:rPr>
                <w:rFonts w:hint="eastAsia"/>
                <w:sz w:val="21"/>
                <w:szCs w:val="24"/>
                <w:lang w:val="en-US" w:eastAsia="zh-CN"/>
              </w:rPr>
              <w:t>（提供相应质检报告）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8" w:hRule="atLeast"/>
        </w:trPr>
        <w:tc>
          <w:tcPr>
            <w:tcW w:w="438" w:type="dxa"/>
            <w:vAlign w:val="center"/>
          </w:tcPr>
          <w:p>
            <w:pPr>
              <w:numPr>
                <w:ilvl w:val="0"/>
                <w:numId w:val="0"/>
              </w:numPr>
              <w:jc w:val="center"/>
              <w:rPr>
                <w:rFonts w:hint="default"/>
                <w:vertAlign w:val="baseline"/>
                <w:lang w:val="en-US" w:eastAsia="zh-CN"/>
              </w:rPr>
            </w:pPr>
            <w:r>
              <w:rPr>
                <w:rFonts w:hint="eastAsia"/>
                <w:vertAlign w:val="baseline"/>
                <w:lang w:val="en-US" w:eastAsia="zh-CN"/>
              </w:rPr>
              <w:t>2</w:t>
            </w:r>
          </w:p>
        </w:tc>
        <w:tc>
          <w:tcPr>
            <w:tcW w:w="940" w:type="dxa"/>
            <w:shd w:val="clear" w:color="auto" w:fill="auto"/>
            <w:vAlign w:val="center"/>
          </w:tcPr>
          <w:p>
            <w:pPr>
              <w:numPr>
                <w:ilvl w:val="0"/>
                <w:numId w:val="0"/>
              </w:numPr>
              <w:ind w:left="0" w:leftChars="0" w:firstLine="0" w:firstLineChars="0"/>
              <w:jc w:val="center"/>
              <w:rPr>
                <w:rFonts w:hint="default" w:asciiTheme="minorHAnsi" w:hAnsiTheme="minorHAnsi" w:eastAsiaTheme="minorEastAsia" w:cstheme="minorBidi"/>
                <w:kern w:val="2"/>
                <w:sz w:val="21"/>
                <w:szCs w:val="24"/>
                <w:vertAlign w:val="baseline"/>
                <w:lang w:val="en-US" w:eastAsia="zh-CN" w:bidi="ar-SA"/>
              </w:rPr>
            </w:pPr>
            <w:r>
              <w:rPr>
                <w:rFonts w:hint="eastAsia"/>
                <w:lang w:val="en-US" w:eastAsia="zh-CN"/>
              </w:rPr>
              <w:t>助洗剂</w:t>
            </w:r>
          </w:p>
        </w:tc>
        <w:tc>
          <w:tcPr>
            <w:tcW w:w="1737" w:type="dxa"/>
            <w:shd w:val="clear" w:color="auto" w:fill="auto"/>
            <w:vAlign w:val="center"/>
          </w:tcPr>
          <w:p>
            <w:pPr>
              <w:numPr>
                <w:ilvl w:val="0"/>
                <w:numId w:val="0"/>
              </w:numPr>
              <w:jc w:val="center"/>
              <w:rPr>
                <w:rFonts w:hint="default"/>
                <w:vertAlign w:val="baseline"/>
                <w:lang w:val="en-US" w:eastAsia="zh-CN"/>
              </w:rPr>
            </w:pPr>
            <w:r>
              <w:rPr>
                <w:rFonts w:hint="eastAsia"/>
                <w:vertAlign w:val="baseline"/>
                <w:lang w:val="en-US" w:eastAsia="zh-CN"/>
              </w:rPr>
              <w:t>940kg</w:t>
            </w:r>
          </w:p>
        </w:tc>
        <w:tc>
          <w:tcPr>
            <w:tcW w:w="1950" w:type="dxa"/>
            <w:vAlign w:val="center"/>
          </w:tcPr>
          <w:p>
            <w:pPr>
              <w:numPr>
                <w:ilvl w:val="0"/>
                <w:numId w:val="0"/>
              </w:numPr>
              <w:jc w:val="center"/>
              <w:rPr>
                <w:rFonts w:hint="default"/>
                <w:vertAlign w:val="baseline"/>
                <w:lang w:val="en-US" w:eastAsia="zh-CN"/>
              </w:rPr>
            </w:pPr>
            <w:r>
              <w:rPr>
                <w:rFonts w:hint="eastAsia"/>
                <w:vertAlign w:val="baseline"/>
                <w:lang w:val="en-US" w:eastAsia="zh-CN"/>
              </w:rPr>
              <w:t>14.00</w:t>
            </w:r>
          </w:p>
        </w:tc>
        <w:tc>
          <w:tcPr>
            <w:tcW w:w="1802" w:type="dxa"/>
            <w:vAlign w:val="center"/>
          </w:tcPr>
          <w:p>
            <w:pPr>
              <w:numPr>
                <w:ilvl w:val="0"/>
                <w:numId w:val="0"/>
              </w:numPr>
              <w:jc w:val="center"/>
              <w:rPr>
                <w:rFonts w:hint="default"/>
                <w:sz w:val="22"/>
                <w:szCs w:val="28"/>
                <w:lang w:val="en-US" w:eastAsia="zh-CN"/>
              </w:rPr>
            </w:pPr>
            <w:r>
              <w:rPr>
                <w:rFonts w:hint="eastAsia"/>
                <w:sz w:val="22"/>
                <w:szCs w:val="28"/>
                <w:lang w:val="en-US" w:eastAsia="zh-CN"/>
              </w:rPr>
              <w:t>13160.00</w:t>
            </w:r>
          </w:p>
        </w:tc>
        <w:tc>
          <w:tcPr>
            <w:tcW w:w="2993" w:type="dxa"/>
            <w:vMerge w:val="continue"/>
            <w:vAlign w:val="top"/>
          </w:tcPr>
          <w:p>
            <w:pPr>
              <w:numPr>
                <w:ilvl w:val="0"/>
                <w:numId w:val="0"/>
              </w:numPr>
              <w:ind w:firstLine="420" w:firstLineChars="200"/>
              <w:jc w:val="both"/>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5" w:hRule="atLeast"/>
        </w:trPr>
        <w:tc>
          <w:tcPr>
            <w:tcW w:w="438" w:type="dxa"/>
            <w:vAlign w:val="center"/>
          </w:tcPr>
          <w:p>
            <w:pPr>
              <w:numPr>
                <w:ilvl w:val="0"/>
                <w:numId w:val="0"/>
              </w:numPr>
              <w:jc w:val="center"/>
              <w:rPr>
                <w:rFonts w:hint="default"/>
                <w:vertAlign w:val="baseline"/>
                <w:lang w:val="en-US" w:eastAsia="zh-CN"/>
              </w:rPr>
            </w:pPr>
            <w:r>
              <w:rPr>
                <w:rFonts w:hint="eastAsia"/>
                <w:vertAlign w:val="baseline"/>
                <w:lang w:val="en-US" w:eastAsia="zh-CN"/>
              </w:rPr>
              <w:t>3</w:t>
            </w:r>
          </w:p>
        </w:tc>
        <w:tc>
          <w:tcPr>
            <w:tcW w:w="940" w:type="dxa"/>
            <w:shd w:val="clear" w:color="auto" w:fill="auto"/>
            <w:vAlign w:val="center"/>
          </w:tcPr>
          <w:p>
            <w:pPr>
              <w:numPr>
                <w:ilvl w:val="0"/>
                <w:numId w:val="0"/>
              </w:numPr>
              <w:ind w:left="0" w:leftChars="0" w:firstLine="0" w:firstLineChars="0"/>
              <w:jc w:val="center"/>
              <w:rPr>
                <w:rFonts w:hint="default"/>
                <w:lang w:val="en-US" w:eastAsia="zh-CN"/>
              </w:rPr>
            </w:pPr>
            <w:r>
              <w:rPr>
                <w:rFonts w:hint="eastAsia"/>
                <w:lang w:val="en-US" w:eastAsia="zh-CN"/>
              </w:rPr>
              <w:t>合计</w:t>
            </w:r>
          </w:p>
        </w:tc>
        <w:tc>
          <w:tcPr>
            <w:tcW w:w="3687" w:type="dxa"/>
            <w:gridSpan w:val="2"/>
            <w:shd w:val="clear" w:color="auto" w:fill="auto"/>
            <w:vAlign w:val="center"/>
          </w:tcPr>
          <w:p>
            <w:pPr>
              <w:numPr>
                <w:ilvl w:val="0"/>
                <w:numId w:val="0"/>
              </w:numPr>
              <w:jc w:val="center"/>
              <w:rPr>
                <w:rFonts w:hint="default"/>
                <w:vertAlign w:val="baseline"/>
                <w:lang w:val="en-US" w:eastAsia="zh-CN"/>
              </w:rPr>
            </w:pPr>
            <w:r>
              <w:rPr>
                <w:rFonts w:hint="eastAsia"/>
                <w:vertAlign w:val="baseline"/>
                <w:lang w:val="en-US" w:eastAsia="zh-CN"/>
              </w:rPr>
              <w:t>/</w:t>
            </w:r>
          </w:p>
        </w:tc>
        <w:tc>
          <w:tcPr>
            <w:tcW w:w="1802" w:type="dxa"/>
            <w:vAlign w:val="center"/>
          </w:tcPr>
          <w:p>
            <w:pPr>
              <w:numPr>
                <w:ilvl w:val="0"/>
                <w:numId w:val="0"/>
              </w:numPr>
              <w:jc w:val="center"/>
              <w:rPr>
                <w:rFonts w:hint="default"/>
                <w:sz w:val="22"/>
                <w:szCs w:val="28"/>
                <w:lang w:val="en-US" w:eastAsia="zh-CN"/>
              </w:rPr>
            </w:pPr>
            <w:r>
              <w:rPr>
                <w:rFonts w:hint="eastAsia"/>
                <w:sz w:val="22"/>
                <w:szCs w:val="28"/>
                <w:lang w:val="en-US" w:eastAsia="zh-CN"/>
              </w:rPr>
              <w:t>29610.00</w:t>
            </w:r>
          </w:p>
        </w:tc>
        <w:tc>
          <w:tcPr>
            <w:tcW w:w="2993" w:type="dxa"/>
            <w:vAlign w:val="center"/>
          </w:tcPr>
          <w:p>
            <w:pPr>
              <w:numPr>
                <w:ilvl w:val="0"/>
                <w:numId w:val="0"/>
              </w:numPr>
              <w:ind w:firstLine="440" w:firstLineChars="200"/>
              <w:jc w:val="center"/>
              <w:rPr>
                <w:rFonts w:hint="default"/>
                <w:sz w:val="22"/>
                <w:szCs w:val="28"/>
                <w:lang w:val="en-US" w:eastAsia="zh-CN"/>
              </w:rPr>
            </w:pPr>
            <w:r>
              <w:rPr>
                <w:rFonts w:hint="eastAsia"/>
                <w:sz w:val="22"/>
                <w:szCs w:val="28"/>
                <w:lang w:val="en-US" w:eastAsia="zh-CN"/>
              </w:rPr>
              <w:t>/</w:t>
            </w:r>
          </w:p>
        </w:tc>
      </w:tr>
    </w:tbl>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134" w:header="851" w:footer="992" w:gutter="0"/>
          <w:lnNumType w:countBy="0" w:restart="continuous"/>
          <w:cols w:space="425" w:num="1"/>
          <w:docGrid w:type="lines" w:linePitch="312" w:charSpace="0"/>
        </w:sectPr>
      </w:pPr>
      <w:bookmarkStart w:id="13" w:name="_GoBack"/>
      <w:bookmarkEnd w:id="13"/>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pPr>
        <w:ind w:right="420"/>
        <w:rPr>
          <w:rFonts w:hint="eastAsia"/>
          <w:b/>
          <w:szCs w:val="21"/>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b/>
          <w:szCs w:val="21"/>
        </w:rPr>
        <w:t xml:space="preserve">  </w:t>
      </w:r>
    </w:p>
    <w:tbl>
      <w:tblPr>
        <w:tblStyle w:val="10"/>
        <w:tblW w:w="127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3236"/>
        <w:gridCol w:w="2001"/>
        <w:gridCol w:w="2407"/>
        <w:gridCol w:w="1858"/>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1434"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序号</w:t>
            </w:r>
          </w:p>
        </w:tc>
        <w:tc>
          <w:tcPr>
            <w:tcW w:w="3236"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名称</w:t>
            </w:r>
          </w:p>
        </w:tc>
        <w:tc>
          <w:tcPr>
            <w:tcW w:w="2001"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单价（元）</w:t>
            </w:r>
          </w:p>
        </w:tc>
        <w:tc>
          <w:tcPr>
            <w:tcW w:w="2407"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数量（千克）</w:t>
            </w:r>
          </w:p>
        </w:tc>
        <w:tc>
          <w:tcPr>
            <w:tcW w:w="1858"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总价（元）</w:t>
            </w:r>
          </w:p>
        </w:tc>
        <w:tc>
          <w:tcPr>
            <w:tcW w:w="1818"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1434"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1</w:t>
            </w:r>
          </w:p>
        </w:tc>
        <w:tc>
          <w:tcPr>
            <w:tcW w:w="3236"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主洗剂</w:t>
            </w:r>
          </w:p>
        </w:tc>
        <w:tc>
          <w:tcPr>
            <w:tcW w:w="2001" w:type="dxa"/>
          </w:tcPr>
          <w:p>
            <w:pPr>
              <w:ind w:right="420"/>
              <w:rPr>
                <w:rFonts w:hint="eastAsia"/>
                <w:b/>
                <w:szCs w:val="21"/>
                <w:vertAlign w:val="baseline"/>
              </w:rPr>
            </w:pPr>
          </w:p>
        </w:tc>
        <w:tc>
          <w:tcPr>
            <w:tcW w:w="2407" w:type="dxa"/>
          </w:tcPr>
          <w:p>
            <w:pPr>
              <w:ind w:right="420"/>
              <w:rPr>
                <w:rFonts w:hint="eastAsia"/>
                <w:b/>
                <w:szCs w:val="21"/>
                <w:vertAlign w:val="baseline"/>
              </w:rPr>
            </w:pPr>
          </w:p>
        </w:tc>
        <w:tc>
          <w:tcPr>
            <w:tcW w:w="1858" w:type="dxa"/>
          </w:tcPr>
          <w:p>
            <w:pPr>
              <w:ind w:right="420"/>
              <w:rPr>
                <w:rFonts w:hint="eastAsia"/>
                <w:b/>
                <w:szCs w:val="21"/>
                <w:vertAlign w:val="baseline"/>
              </w:rPr>
            </w:pPr>
          </w:p>
        </w:tc>
        <w:tc>
          <w:tcPr>
            <w:tcW w:w="1818" w:type="dxa"/>
          </w:tcPr>
          <w:p>
            <w:pPr>
              <w:ind w:right="420"/>
              <w:rPr>
                <w:rFonts w:hint="eastAsia"/>
                <w:b/>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1434"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2</w:t>
            </w:r>
          </w:p>
        </w:tc>
        <w:tc>
          <w:tcPr>
            <w:tcW w:w="3236"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助洗剂</w:t>
            </w:r>
          </w:p>
        </w:tc>
        <w:tc>
          <w:tcPr>
            <w:tcW w:w="2001" w:type="dxa"/>
          </w:tcPr>
          <w:p>
            <w:pPr>
              <w:ind w:right="420"/>
              <w:rPr>
                <w:rFonts w:hint="eastAsia"/>
                <w:b/>
                <w:szCs w:val="21"/>
                <w:vertAlign w:val="baseline"/>
              </w:rPr>
            </w:pPr>
          </w:p>
        </w:tc>
        <w:tc>
          <w:tcPr>
            <w:tcW w:w="2407" w:type="dxa"/>
          </w:tcPr>
          <w:p>
            <w:pPr>
              <w:ind w:right="420"/>
              <w:rPr>
                <w:rFonts w:hint="eastAsia"/>
                <w:b/>
                <w:szCs w:val="21"/>
                <w:vertAlign w:val="baseline"/>
              </w:rPr>
            </w:pPr>
          </w:p>
        </w:tc>
        <w:tc>
          <w:tcPr>
            <w:tcW w:w="1858" w:type="dxa"/>
          </w:tcPr>
          <w:p>
            <w:pPr>
              <w:ind w:right="420"/>
              <w:rPr>
                <w:rFonts w:hint="eastAsia"/>
                <w:b/>
                <w:szCs w:val="21"/>
                <w:vertAlign w:val="baseline"/>
              </w:rPr>
            </w:pPr>
          </w:p>
        </w:tc>
        <w:tc>
          <w:tcPr>
            <w:tcW w:w="1818" w:type="dxa"/>
          </w:tcPr>
          <w:p>
            <w:pPr>
              <w:ind w:right="420"/>
              <w:rPr>
                <w:rFonts w:hint="eastAsia"/>
                <w:b/>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trPr>
        <w:tc>
          <w:tcPr>
            <w:tcW w:w="1434"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3</w:t>
            </w:r>
          </w:p>
        </w:tc>
        <w:tc>
          <w:tcPr>
            <w:tcW w:w="3236"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合计</w:t>
            </w:r>
          </w:p>
        </w:tc>
        <w:tc>
          <w:tcPr>
            <w:tcW w:w="2001" w:type="dxa"/>
          </w:tcPr>
          <w:p>
            <w:pPr>
              <w:ind w:right="420"/>
              <w:rPr>
                <w:rFonts w:hint="eastAsia"/>
                <w:b/>
                <w:szCs w:val="21"/>
                <w:vertAlign w:val="baseline"/>
              </w:rPr>
            </w:pPr>
          </w:p>
        </w:tc>
        <w:tc>
          <w:tcPr>
            <w:tcW w:w="2407" w:type="dxa"/>
          </w:tcPr>
          <w:p>
            <w:pPr>
              <w:ind w:right="420"/>
              <w:rPr>
                <w:rFonts w:hint="eastAsia"/>
                <w:b/>
                <w:szCs w:val="21"/>
                <w:vertAlign w:val="baseline"/>
              </w:rPr>
            </w:pPr>
          </w:p>
        </w:tc>
        <w:tc>
          <w:tcPr>
            <w:tcW w:w="1858" w:type="dxa"/>
          </w:tcPr>
          <w:p>
            <w:pPr>
              <w:ind w:right="420"/>
              <w:rPr>
                <w:rFonts w:hint="eastAsia"/>
                <w:b/>
                <w:szCs w:val="21"/>
                <w:vertAlign w:val="baseline"/>
              </w:rPr>
            </w:pPr>
          </w:p>
        </w:tc>
        <w:tc>
          <w:tcPr>
            <w:tcW w:w="1818" w:type="dxa"/>
          </w:tcPr>
          <w:p>
            <w:pPr>
              <w:ind w:right="420"/>
              <w:rPr>
                <w:rFonts w:hint="eastAsia"/>
                <w:b/>
                <w:szCs w:val="21"/>
                <w:vertAlign w:val="baseline"/>
              </w:rPr>
            </w:pPr>
          </w:p>
        </w:tc>
      </w:tr>
    </w:tbl>
    <w:p>
      <w:pPr>
        <w:ind w:right="420"/>
        <w:rPr>
          <w:rFonts w:hint="eastAsia"/>
          <w:lang w:val="en-US" w:eastAsia="zh-CN"/>
        </w:rPr>
        <w:sectPr>
          <w:pgSz w:w="16838" w:h="11906" w:orient="landscape"/>
          <w:pgMar w:top="1474" w:right="1587" w:bottom="1474" w:left="1474" w:header="851" w:footer="992" w:gutter="0"/>
          <w:lnNumType w:countBy="0" w:restart="continuous"/>
          <w:cols w:space="425" w:num="1"/>
          <w:docGrid w:type="lines" w:linePitch="312" w:charSpace="0"/>
        </w:sectPr>
      </w:pPr>
      <w:r>
        <w:rPr>
          <w:rFonts w:hint="eastAsia"/>
          <w:b/>
          <w:szCs w:val="21"/>
        </w:rPr>
        <w:t xml:space="preserve">                                                                                  </w:t>
      </w:r>
    </w:p>
    <w:p>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pStyle w:val="2"/>
        <w:rPr>
          <w:rFonts w:hint="eastAsia"/>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2.4</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3"/>
        <w:rPr>
          <w:rFonts w:hint="eastAsia" w:ascii="仿宋" w:hAnsi="仿宋" w:eastAsia="仿宋" w:cs="仿宋"/>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3"/>
        <w:rPr>
          <w:rFonts w:hint="eastAsia" w:ascii="仿宋" w:hAnsi="仿宋" w:eastAsia="仿宋" w:cs="仿宋"/>
          <w:sz w:val="28"/>
          <w:szCs w:val="28"/>
          <w:lang w:val="en-US" w:eastAsia="zh-CN"/>
        </w:rPr>
      </w:pPr>
    </w:p>
    <w:p>
      <w:pPr>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技术部分：</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3.1产品技术资料，含产品彩页、产品说明书等。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3.3供应商认为须提供的其他材料。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12278"/>
      <w:bookmarkStart w:id="2" w:name="_Toc9923"/>
      <w:bookmarkStart w:id="3" w:name="_Toc7334"/>
      <w:r>
        <w:rPr>
          <w:rFonts w:hint="eastAsia" w:ascii="仿宋" w:hAnsi="仿宋" w:eastAsia="仿宋" w:cs="仿宋"/>
          <w:b/>
          <w:color w:val="auto"/>
          <w:sz w:val="28"/>
          <w:szCs w:val="28"/>
        </w:rPr>
        <w:t>中小企业声明函（如有）</w:t>
      </w:r>
      <w:bookmarkEnd w:id="1"/>
      <w:bookmarkEnd w:id="2"/>
      <w:bookmarkEnd w:id="3"/>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pPr>
        <w:pStyle w:val="14"/>
        <w:adjustRightInd w:val="0"/>
        <w:snapToGrid w:val="0"/>
        <w:spacing w:line="360" w:lineRule="auto"/>
        <w:rPr>
          <w:rFonts w:hint="eastAsia" w:ascii="仿宋" w:hAnsi="仿宋" w:eastAsia="仿宋" w:cs="仿宋"/>
          <w:color w:val="auto"/>
          <w:sz w:val="24"/>
          <w:szCs w:val="24"/>
        </w:rPr>
      </w:pP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5914"/>
      <w:bookmarkStart w:id="5" w:name="_Toc27763"/>
      <w:bookmarkStart w:id="6" w:name="_Toc8849"/>
      <w:bookmarkStart w:id="7" w:name="_Toc6320"/>
      <w:bookmarkStart w:id="8" w:name="_Toc26663"/>
      <w:bookmarkStart w:id="9" w:name="_Toc1219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8907"/>
      <w:bookmarkStart w:id="11" w:name="_Toc24071"/>
      <w:bookmarkStart w:id="12" w:name="_Toc26397"/>
    </w:p>
    <w:p>
      <w:pPr>
        <w:pStyle w:val="2"/>
        <w:rPr>
          <w:rFonts w:hint="eastAsia"/>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6E039BC"/>
    <w:rsid w:val="092471B0"/>
    <w:rsid w:val="0CD60EEA"/>
    <w:rsid w:val="0CEE54C8"/>
    <w:rsid w:val="0E517DED"/>
    <w:rsid w:val="0F0D57E7"/>
    <w:rsid w:val="117A6568"/>
    <w:rsid w:val="137D4A28"/>
    <w:rsid w:val="14AB44EF"/>
    <w:rsid w:val="18486BBA"/>
    <w:rsid w:val="1BA261C1"/>
    <w:rsid w:val="1DDD6FCB"/>
    <w:rsid w:val="1DDE2A25"/>
    <w:rsid w:val="20022706"/>
    <w:rsid w:val="20963A86"/>
    <w:rsid w:val="211279D0"/>
    <w:rsid w:val="21DB658F"/>
    <w:rsid w:val="224A136D"/>
    <w:rsid w:val="246416A0"/>
    <w:rsid w:val="292F7978"/>
    <w:rsid w:val="29606563"/>
    <w:rsid w:val="2D795D59"/>
    <w:rsid w:val="328F2A57"/>
    <w:rsid w:val="3DC34EA5"/>
    <w:rsid w:val="46D1471D"/>
    <w:rsid w:val="48711144"/>
    <w:rsid w:val="48DD6EFD"/>
    <w:rsid w:val="4A2E6CCE"/>
    <w:rsid w:val="4ABE7791"/>
    <w:rsid w:val="4C6A2EA4"/>
    <w:rsid w:val="51284122"/>
    <w:rsid w:val="521D069E"/>
    <w:rsid w:val="524763D0"/>
    <w:rsid w:val="53B333B0"/>
    <w:rsid w:val="56D72364"/>
    <w:rsid w:val="58B53CD8"/>
    <w:rsid w:val="59CE44C9"/>
    <w:rsid w:val="5AF328A5"/>
    <w:rsid w:val="5EEA2145"/>
    <w:rsid w:val="5F00140B"/>
    <w:rsid w:val="62392F01"/>
    <w:rsid w:val="68DF777A"/>
    <w:rsid w:val="6B8F6694"/>
    <w:rsid w:val="7086465D"/>
    <w:rsid w:val="7591235D"/>
    <w:rsid w:val="79584E1A"/>
    <w:rsid w:val="7A06528C"/>
    <w:rsid w:val="7C820D0D"/>
    <w:rsid w:val="7C822B6B"/>
    <w:rsid w:val="7CCC6DC0"/>
    <w:rsid w:val="7D7A6A38"/>
    <w:rsid w:val="7E4E730E"/>
    <w:rsid w:val="7F482A1E"/>
    <w:rsid w:val="7F7A431F"/>
    <w:rsid w:val="7F9E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2026-02-06T11:02:36Z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