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sz w:val="28"/>
          <w:szCs w:val="28"/>
          <w:lang w:val="en-US" w:eastAsia="zh-CN"/>
        </w:rPr>
      </w:pPr>
      <w:r>
        <w:rPr>
          <w:rFonts w:hint="eastAsia" w:asciiTheme="majorEastAsia" w:hAnsiTheme="majorEastAsia" w:eastAsiaTheme="majorEastAsia" w:cstheme="majorEastAsia"/>
          <w:sz w:val="30"/>
          <w:szCs w:val="30"/>
          <w:lang w:val="en-US" w:eastAsia="zh-CN"/>
        </w:rPr>
        <w:t xml:space="preserve">附件一：  </w:t>
      </w:r>
      <w:r>
        <w:rPr>
          <w:rFonts w:hint="eastAsia" w:ascii="宋体" w:hAnsi="宋体" w:eastAsia="宋体" w:cs="宋体"/>
          <w:b/>
          <w:bCs/>
          <w:sz w:val="30"/>
          <w:szCs w:val="30"/>
          <w:lang w:val="en-US" w:eastAsia="zh-CN"/>
        </w:rPr>
        <w:t>工业洗衣机</w:t>
      </w:r>
      <w:r>
        <w:rPr>
          <w:rFonts w:hint="eastAsia" w:ascii="宋体" w:hAnsi="宋体" w:eastAsia="宋体" w:cs="宋体"/>
          <w:b/>
          <w:bCs/>
          <w:sz w:val="28"/>
          <w:szCs w:val="28"/>
          <w:lang w:val="en-US" w:eastAsia="zh-CN"/>
        </w:rPr>
        <w:t>技术要求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洗涤容量：100公斤；</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洗衣转速：大于等于32rmp；</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脱水转速：大于等于670rmp；</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电机功率：大于等于7.5千瓦；</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加热方式：蒸汽加热；</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蒸汽压力：小于0.6Mpa；</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供排水接口：支持冷水、热水进水，排水接口可由供应商安装调试时调整；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材质：外壳、滚筒、转笼为不锈钢材质；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转笼尺寸：大于等于1240mm×840mm；</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噪声：最大噪声不高于70分贝；</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洗涤温度：洗涤温度可以设置，并且洗涤温度设置上限不低于90摄氏度；</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洗涤程序：应具有自动和手动两种模式，自动模式应预设有不低于10种洗涤程序；手动模式可任意选着洗涤周期，清洗次数，脱水时间等；</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装载门附近应有易于操作和易于接近的紧急停止开关；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具有力学防震结构和减震器；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驱动方式应为变频驱动；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具</w:t>
      </w:r>
      <w:r>
        <w:rPr>
          <w:rFonts w:hint="eastAsia" w:ascii="仿宋" w:hAnsi="仿宋" w:eastAsia="仿宋" w:cs="仿宋"/>
          <w:sz w:val="28"/>
          <w:szCs w:val="28"/>
          <w:lang w:val="en-US" w:eastAsia="zh-CN"/>
        </w:rPr>
        <w:t>有自动洗涤剂分离容器，避免产生洗涤剂堆积现象和布草灼伤现象；</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投标产品应具有有效期内的国家轻工业服装洗涤机械质量监督检测中心出具的检测报告。</w:t>
      </w: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134"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4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3669"/>
        <w:gridCol w:w="1380"/>
        <w:gridCol w:w="1365"/>
        <w:gridCol w:w="1265"/>
        <w:gridCol w:w="1375"/>
        <w:gridCol w:w="2165"/>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5" w:hRule="atLeast"/>
        </w:trPr>
        <w:tc>
          <w:tcPr>
            <w:tcW w:w="1172"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6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1380"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13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数量（台）</w:t>
            </w:r>
          </w:p>
        </w:tc>
        <w:tc>
          <w:tcPr>
            <w:tcW w:w="126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375"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质保期（年）</w:t>
            </w:r>
          </w:p>
        </w:tc>
        <w:tc>
          <w:tcPr>
            <w:tcW w:w="2165" w:type="dxa"/>
            <w:vAlign w:val="center"/>
          </w:tcPr>
          <w:p>
            <w:pPr>
              <w:ind w:right="420"/>
              <w:jc w:val="center"/>
              <w:rPr>
                <w:rFonts w:hint="default" w:eastAsia="宋体"/>
                <w:b/>
                <w:szCs w:val="21"/>
                <w:vertAlign w:val="baseline"/>
                <w:lang w:val="en-US" w:eastAsia="zh-CN"/>
              </w:rPr>
            </w:pPr>
            <w:r>
              <w:rPr>
                <w:rFonts w:hint="eastAsia"/>
                <w:b/>
                <w:szCs w:val="21"/>
                <w:vertAlign w:val="baseline"/>
                <w:lang w:val="en-US" w:eastAsia="zh-CN"/>
              </w:rPr>
              <w:t>规格型号</w:t>
            </w:r>
          </w:p>
        </w:tc>
        <w:tc>
          <w:tcPr>
            <w:tcW w:w="1769" w:type="dxa"/>
            <w:vAlign w:val="center"/>
          </w:tcPr>
          <w:p>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3" w:hRule="atLeast"/>
        </w:trPr>
        <w:tc>
          <w:tcPr>
            <w:tcW w:w="1172" w:type="dxa"/>
          </w:tcPr>
          <w:p>
            <w:pPr>
              <w:ind w:right="420"/>
              <w:rPr>
                <w:rFonts w:hint="eastAsia"/>
                <w:b/>
                <w:szCs w:val="21"/>
                <w:vertAlign w:val="baseline"/>
              </w:rPr>
            </w:pPr>
          </w:p>
        </w:tc>
        <w:tc>
          <w:tcPr>
            <w:tcW w:w="3669" w:type="dxa"/>
          </w:tcPr>
          <w:p>
            <w:pPr>
              <w:ind w:right="420"/>
              <w:rPr>
                <w:rFonts w:hint="eastAsia"/>
                <w:b/>
                <w:szCs w:val="21"/>
                <w:vertAlign w:val="baseline"/>
              </w:rPr>
            </w:pPr>
          </w:p>
        </w:tc>
        <w:tc>
          <w:tcPr>
            <w:tcW w:w="1380" w:type="dxa"/>
          </w:tcPr>
          <w:p>
            <w:pPr>
              <w:ind w:right="420"/>
              <w:rPr>
                <w:rFonts w:hint="eastAsia"/>
                <w:b/>
                <w:szCs w:val="21"/>
                <w:vertAlign w:val="baseline"/>
              </w:rPr>
            </w:pPr>
          </w:p>
        </w:tc>
        <w:tc>
          <w:tcPr>
            <w:tcW w:w="1365" w:type="dxa"/>
          </w:tcPr>
          <w:p>
            <w:pPr>
              <w:ind w:right="420"/>
              <w:rPr>
                <w:rFonts w:hint="eastAsia"/>
                <w:b/>
                <w:szCs w:val="21"/>
                <w:vertAlign w:val="baseline"/>
              </w:rPr>
            </w:pPr>
          </w:p>
        </w:tc>
        <w:tc>
          <w:tcPr>
            <w:tcW w:w="1265" w:type="dxa"/>
          </w:tcPr>
          <w:p>
            <w:pPr>
              <w:ind w:right="420"/>
              <w:rPr>
                <w:rFonts w:hint="eastAsia"/>
                <w:b/>
                <w:szCs w:val="21"/>
                <w:vertAlign w:val="baseline"/>
              </w:rPr>
            </w:pPr>
          </w:p>
        </w:tc>
        <w:tc>
          <w:tcPr>
            <w:tcW w:w="1375" w:type="dxa"/>
          </w:tcPr>
          <w:p>
            <w:pPr>
              <w:ind w:right="420"/>
              <w:rPr>
                <w:rFonts w:hint="eastAsia"/>
                <w:b/>
                <w:szCs w:val="21"/>
                <w:vertAlign w:val="baseline"/>
              </w:rPr>
            </w:pPr>
          </w:p>
        </w:tc>
        <w:tc>
          <w:tcPr>
            <w:tcW w:w="2165" w:type="dxa"/>
          </w:tcPr>
          <w:p>
            <w:pPr>
              <w:ind w:right="420"/>
              <w:rPr>
                <w:rFonts w:hint="eastAsia"/>
                <w:b/>
                <w:szCs w:val="21"/>
                <w:vertAlign w:val="baseline"/>
              </w:rPr>
            </w:pPr>
          </w:p>
        </w:tc>
        <w:tc>
          <w:tcPr>
            <w:tcW w:w="1769" w:type="dxa"/>
          </w:tcPr>
          <w:p>
            <w:pPr>
              <w:ind w:right="420"/>
              <w:rPr>
                <w:rFonts w:hint="eastAsia"/>
                <w:b/>
                <w:szCs w:val="21"/>
                <w:vertAlign w:val="baseline"/>
              </w:rPr>
            </w:pPr>
          </w:p>
        </w:tc>
      </w:tr>
    </w:tbl>
    <w:p>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pStyle w:val="2"/>
        <w:rPr>
          <w:rFonts w:hint="eastAsia"/>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bookmarkStart w:id="13" w:name="_GoBack"/>
      <w:bookmarkEnd w:id="13"/>
    </w:p>
    <w:p>
      <w:pPr>
        <w:pStyle w:val="3"/>
        <w:rPr>
          <w:rFonts w:hint="eastAsia"/>
          <w:lang w:val="en-US" w:eastAsia="zh-CN"/>
        </w:rPr>
      </w:pPr>
    </w:p>
    <w:p>
      <w:pPr>
        <w:rPr>
          <w:rFonts w:hint="eastAsia"/>
          <w:lang w:val="en-US" w:eastAsia="zh-CN"/>
        </w:rPr>
      </w:pPr>
    </w:p>
    <w:p>
      <w:pPr>
        <w:pStyle w:val="2"/>
        <w:rPr>
          <w:rFonts w:hint="eastAsia"/>
          <w:lang w:val="en-US" w:eastAsia="zh-CN"/>
        </w:rPr>
      </w:pPr>
    </w:p>
    <w:p>
      <w:pPr>
        <w:pStyle w:val="3"/>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2.4</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3"/>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3"/>
        <w:rPr>
          <w:rFonts w:hint="eastAsia" w:ascii="仿宋" w:hAnsi="仿宋" w:eastAsia="仿宋" w:cs="仿宋"/>
          <w:sz w:val="28"/>
          <w:szCs w:val="28"/>
          <w:lang w:val="en-US" w:eastAsia="zh-CN"/>
        </w:rPr>
      </w:pPr>
    </w:p>
    <w:p>
      <w:pPr>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7334"/>
      <w:bookmarkStart w:id="2" w:name="_Toc12278"/>
      <w:bookmarkStart w:id="3" w:name="_Toc9923"/>
      <w:r>
        <w:rPr>
          <w:rFonts w:hint="eastAsia" w:ascii="仿宋" w:hAnsi="仿宋" w:eastAsia="仿宋" w:cs="仿宋"/>
          <w:b/>
          <w:color w:val="auto"/>
          <w:sz w:val="28"/>
          <w:szCs w:val="28"/>
        </w:rPr>
        <w:t>中小企业声明函（如有）</w:t>
      </w:r>
      <w:bookmarkEnd w:id="1"/>
      <w:bookmarkEnd w:id="2"/>
      <w:bookmarkEnd w:id="3"/>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pPr>
        <w:pStyle w:val="14"/>
        <w:adjustRightInd w:val="0"/>
        <w:snapToGrid w:val="0"/>
        <w:spacing w:line="360" w:lineRule="auto"/>
        <w:rPr>
          <w:rFonts w:hint="eastAsia" w:ascii="仿宋" w:hAnsi="仿宋" w:eastAsia="仿宋" w:cs="仿宋"/>
          <w:color w:val="auto"/>
          <w:sz w:val="24"/>
          <w:szCs w:val="24"/>
        </w:rPr>
      </w:pP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5914"/>
      <w:bookmarkStart w:id="5" w:name="_Toc8849"/>
      <w:bookmarkStart w:id="6" w:name="_Toc27763"/>
      <w:bookmarkStart w:id="7" w:name="_Toc6320"/>
      <w:bookmarkStart w:id="8" w:name="_Toc26663"/>
      <w:bookmarkStart w:id="9" w:name="_Toc1219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6397"/>
      <w:bookmarkStart w:id="11" w:name="_Toc8907"/>
      <w:bookmarkStart w:id="12" w:name="_Toc24071"/>
    </w:p>
    <w:p>
      <w:pPr>
        <w:pStyle w:val="2"/>
        <w:rPr>
          <w:rFonts w:hint="eastAsia"/>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3"/>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7268F9"/>
    <w:multiLevelType w:val="singleLevel"/>
    <w:tmpl w:val="747268F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92471B0"/>
    <w:rsid w:val="0CD60EEA"/>
    <w:rsid w:val="0CEE54C8"/>
    <w:rsid w:val="0E517DED"/>
    <w:rsid w:val="137D4A28"/>
    <w:rsid w:val="14AB44EF"/>
    <w:rsid w:val="18486BBA"/>
    <w:rsid w:val="1BA261C1"/>
    <w:rsid w:val="1DDD6FCB"/>
    <w:rsid w:val="20022706"/>
    <w:rsid w:val="21DB658F"/>
    <w:rsid w:val="224A136D"/>
    <w:rsid w:val="292F7978"/>
    <w:rsid w:val="29606563"/>
    <w:rsid w:val="2D795D59"/>
    <w:rsid w:val="328F2A57"/>
    <w:rsid w:val="3DC34EA5"/>
    <w:rsid w:val="46D1471D"/>
    <w:rsid w:val="48711144"/>
    <w:rsid w:val="48DD6EFD"/>
    <w:rsid w:val="4A2E6CCE"/>
    <w:rsid w:val="4ABE7791"/>
    <w:rsid w:val="4C6A2EA4"/>
    <w:rsid w:val="51284122"/>
    <w:rsid w:val="521D069E"/>
    <w:rsid w:val="524763D0"/>
    <w:rsid w:val="53B333B0"/>
    <w:rsid w:val="56D72364"/>
    <w:rsid w:val="58B53CD8"/>
    <w:rsid w:val="59CE44C9"/>
    <w:rsid w:val="5AF328A5"/>
    <w:rsid w:val="5F00140B"/>
    <w:rsid w:val="62392F01"/>
    <w:rsid w:val="68DF777A"/>
    <w:rsid w:val="6B8F6694"/>
    <w:rsid w:val="7086465D"/>
    <w:rsid w:val="79584E1A"/>
    <w:rsid w:val="7C820D0D"/>
    <w:rsid w:val="7C822B6B"/>
    <w:rsid w:val="7CCC6DC0"/>
    <w:rsid w:val="7F482A1E"/>
    <w:rsid w:val="7F9E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2026-02-02T07:28:03Z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