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0"/>
          <w:szCs w:val="30"/>
          <w:lang w:val="en-US" w:eastAsia="zh-CN"/>
        </w:rPr>
      </w:pPr>
      <w:r>
        <w:rPr>
          <w:rFonts w:hint="eastAsia" w:ascii="黑体" w:hAnsi="黑体" w:eastAsia="黑体" w:cs="黑体"/>
          <w:sz w:val="30"/>
          <w:szCs w:val="30"/>
          <w:lang w:val="en-US" w:eastAsia="zh-CN"/>
        </w:rPr>
        <w:t xml:space="preserve">附件：  </w:t>
      </w:r>
      <w:r>
        <w:rPr>
          <w:rFonts w:hint="eastAsia" w:ascii="黑体" w:hAnsi="黑体" w:eastAsia="黑体" w:cs="黑体"/>
          <w:sz w:val="30"/>
          <w:szCs w:val="30"/>
          <w:lang w:val="en-US" w:eastAsia="zh-CN"/>
        </w:rPr>
        <w:t>一、采购清单明细表及技术参数要求</w:t>
      </w:r>
      <w:r>
        <w:rPr>
          <w:rFonts w:hint="eastAsia" w:ascii="黑体" w:hAnsi="黑体" w:eastAsia="黑体" w:cs="黑体"/>
          <w:sz w:val="30"/>
          <w:szCs w:val="30"/>
          <w:lang w:val="en-US" w:eastAsia="zh-CN"/>
        </w:rPr>
        <w:t xml:space="preserve"> </w:t>
      </w:r>
      <w:r>
        <w:rPr>
          <w:rFonts w:hint="eastAsia" w:asciiTheme="majorEastAsia" w:hAnsiTheme="majorEastAsia" w:eastAsiaTheme="majorEastAsia" w:cstheme="majorEastAsia"/>
          <w:sz w:val="30"/>
          <w:szCs w:val="30"/>
          <w:lang w:val="en-US" w:eastAsia="zh-CN"/>
        </w:rPr>
        <w:t xml:space="preserve"> </w:t>
      </w:r>
      <w:r>
        <w:rPr>
          <w:rFonts w:hint="eastAsia" w:ascii="仿宋" w:hAnsi="仿宋" w:eastAsia="仿宋" w:cs="仿宋"/>
          <w:sz w:val="30"/>
          <w:szCs w:val="30"/>
          <w:lang w:val="en-US" w:eastAsia="zh-CN"/>
        </w:rPr>
        <w:t xml:space="preserve">          </w:t>
      </w:r>
    </w:p>
    <w:tbl>
      <w:tblPr>
        <w:tblStyle w:val="10"/>
        <w:tblpPr w:leftFromText="180" w:rightFromText="180" w:vertAnchor="text" w:horzAnchor="page" w:tblpX="1076" w:tblpY="33"/>
        <w:tblOverlap w:val="never"/>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185"/>
        <w:gridCol w:w="3639"/>
        <w:gridCol w:w="756"/>
        <w:gridCol w:w="806"/>
        <w:gridCol w:w="1033"/>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1" w:hRule="atLeast"/>
        </w:trPr>
        <w:tc>
          <w:tcPr>
            <w:tcW w:w="761" w:type="dxa"/>
            <w:tcBorders>
              <w:top w:val="single" w:color="auto" w:sz="4" w:space="0"/>
            </w:tcBorders>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序号</w:t>
            </w:r>
          </w:p>
        </w:tc>
        <w:tc>
          <w:tcPr>
            <w:tcW w:w="1185" w:type="dxa"/>
            <w:tcBorders>
              <w:top w:val="single" w:color="auto" w:sz="4" w:space="0"/>
            </w:tcBorders>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产品（项目）名称</w:t>
            </w:r>
          </w:p>
        </w:tc>
        <w:tc>
          <w:tcPr>
            <w:tcW w:w="3639" w:type="dxa"/>
            <w:tcBorders>
              <w:top w:val="single" w:color="auto" w:sz="4" w:space="0"/>
            </w:tcBorders>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规格、技术参数、性能要求</w:t>
            </w:r>
            <w:r>
              <w:rPr>
                <w:rFonts w:hint="eastAsia" w:ascii="Times New Roman" w:hAnsi="Times New Roman" w:eastAsia="宋体" w:cs="Times New Roman"/>
                <w:i w:val="0"/>
                <w:color w:val="000000"/>
                <w:kern w:val="0"/>
                <w:sz w:val="24"/>
                <w:szCs w:val="24"/>
                <w:u w:val="none"/>
                <w:lang w:val="en-US" w:eastAsia="zh-CN" w:bidi="ar"/>
              </w:rPr>
              <w:t>等</w:t>
            </w:r>
          </w:p>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756" w:type="dxa"/>
            <w:tcBorders>
              <w:top w:val="single" w:color="auto" w:sz="4" w:space="0"/>
            </w:tcBorders>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w:t>
            </w:r>
          </w:p>
        </w:tc>
        <w:tc>
          <w:tcPr>
            <w:tcW w:w="806" w:type="dxa"/>
            <w:tcBorders>
              <w:top w:val="single" w:color="auto" w:sz="4" w:space="0"/>
            </w:tcBorders>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计量单位</w:t>
            </w:r>
          </w:p>
        </w:tc>
        <w:tc>
          <w:tcPr>
            <w:tcW w:w="1033" w:type="dxa"/>
            <w:tcBorders>
              <w:top w:val="single" w:color="auto" w:sz="4" w:space="0"/>
            </w:tcBorders>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单价（元）</w:t>
            </w:r>
          </w:p>
        </w:tc>
        <w:tc>
          <w:tcPr>
            <w:tcW w:w="1220" w:type="dxa"/>
            <w:tcBorders>
              <w:top w:val="single" w:color="auto" w:sz="4" w:space="0"/>
            </w:tcBorders>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9" w:hRule="atLeast"/>
        </w:trPr>
        <w:tc>
          <w:tcPr>
            <w:tcW w:w="761"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1185"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电缆</w:t>
            </w:r>
          </w:p>
        </w:tc>
        <w:tc>
          <w:tcPr>
            <w:tcW w:w="3639" w:type="dxa"/>
            <w:noWrap w:val="0"/>
            <w:vAlign w:val="center"/>
          </w:tcPr>
          <w:p>
            <w:pPr>
              <w:keepNext w:val="0"/>
              <w:keepLines w:val="0"/>
              <w:widowControl/>
              <w:suppressLineNumbers w:val="0"/>
              <w:spacing w:after="0" w:line="240" w:lineRule="auto"/>
              <w:ind w:left="0" w:leftChars="0" w:right="0" w:righ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1、铜导体纯度≥99.9%；</w:t>
            </w:r>
          </w:p>
          <w:p>
            <w:pPr>
              <w:keepNext w:val="0"/>
              <w:keepLines w:val="0"/>
              <w:widowControl/>
              <w:suppressLineNumbers w:val="0"/>
              <w:spacing w:after="0" w:line="240" w:lineRule="auto"/>
              <w:ind w:left="0" w:leftChars="0" w:right="0" w:righ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2、截面积误差≤±0.5%；</w:t>
            </w:r>
          </w:p>
          <w:p>
            <w:pPr>
              <w:keepNext w:val="0"/>
              <w:keepLines w:val="0"/>
              <w:widowControl/>
              <w:suppressLineNumbers w:val="0"/>
              <w:spacing w:after="0" w:line="240" w:lineRule="auto"/>
              <w:ind w:left="0" w:leftChars="0" w:right="0" w:righ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3、185mm² 导体 20℃直流电阻≤0.103Ω/km，95mm² 导体20℃直流电阻≤0.193Ω/km绝缘电阻≥100MΩ・km（20℃时）；</w:t>
            </w:r>
          </w:p>
          <w:p>
            <w:pPr>
              <w:keepNext w:val="0"/>
              <w:keepLines w:val="0"/>
              <w:widowControl/>
              <w:suppressLineNumbers w:val="0"/>
              <w:spacing w:after="0" w:line="240" w:lineRule="auto"/>
              <w:ind w:left="0" w:leftChars="0" w:right="0" w:righ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4、185mm² 绝缘厚度≥2.5mm，95mm²绝缘厚度≥2.5mm，</w:t>
            </w:r>
          </w:p>
          <w:p>
            <w:pPr>
              <w:keepNext w:val="0"/>
              <w:keepLines w:val="0"/>
              <w:widowControl/>
              <w:suppressLineNumbers w:val="0"/>
              <w:spacing w:after="0" w:line="240" w:lineRule="auto"/>
              <w:ind w:left="0" w:leftChars="0" w:right="0" w:righ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绝缘电阻≥100MΩ・km（20℃时）；</w:t>
            </w:r>
          </w:p>
          <w:p>
            <w:pPr>
              <w:keepNext w:val="0"/>
              <w:keepLines w:val="0"/>
              <w:widowControl/>
              <w:suppressLineNumbers w:val="0"/>
              <w:spacing w:after="0" w:line="240" w:lineRule="auto"/>
              <w:ind w:left="0" w:leftChars="0" w:right="0" w:righ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5、CCC 认证（低压电缆强制认证），需核查证书覆盖型号 "YJY3×185+1×95"</w:t>
            </w:r>
            <w:r>
              <w:rPr>
                <w:rFonts w:hint="eastAsia" w:ascii="Times New Roman" w:hAnsi="Times New Roman" w:eastAsia="宋体" w:cs="Times New Roman"/>
                <w:i w:val="0"/>
                <w:color w:val="000000"/>
                <w:kern w:val="0"/>
                <w:sz w:val="24"/>
                <w:szCs w:val="24"/>
                <w:u w:val="none"/>
                <w:lang w:val="en-US" w:eastAsia="zh-CN" w:bidi="ar"/>
              </w:rPr>
              <w:t>；</w:t>
            </w:r>
          </w:p>
          <w:p>
            <w:pPr>
              <w:keepNext w:val="0"/>
              <w:keepLines w:val="0"/>
              <w:widowControl/>
              <w:suppressLineNumbers w:val="0"/>
              <w:spacing w:after="0" w:line="240" w:lineRule="auto"/>
              <w:ind w:left="0" w:leftChars="0" w:right="0" w:righ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6、电缆护套需清晰标注 "YJY 0.6/1kV 3×185+1×95 厂名 米标"</w:t>
            </w:r>
            <w:r>
              <w:rPr>
                <w:rFonts w:hint="eastAsia" w:ascii="Times New Roman" w:hAnsi="Times New Roman" w:eastAsia="宋体" w:cs="Times New Roman"/>
                <w:i w:val="0"/>
                <w:color w:val="000000"/>
                <w:kern w:val="0"/>
                <w:sz w:val="24"/>
                <w:szCs w:val="24"/>
                <w:u w:val="none"/>
                <w:lang w:val="en-US" w:eastAsia="zh-CN" w:bidi="ar"/>
              </w:rPr>
              <w:t>；</w:t>
            </w:r>
          </w:p>
          <w:p>
            <w:pPr>
              <w:keepNext w:val="0"/>
              <w:keepLines w:val="0"/>
              <w:widowControl/>
              <w:suppressLineNumbers w:val="0"/>
              <w:spacing w:after="0" w:line="240" w:lineRule="auto"/>
              <w:ind w:left="0" w:leftChars="0" w:right="0" w:righ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7、不允许有中间接头</w:t>
            </w:r>
            <w:r>
              <w:rPr>
                <w:rFonts w:hint="eastAsia" w:ascii="Times New Roman" w:hAnsi="Times New Roman" w:eastAsia="宋体" w:cs="Times New Roman"/>
                <w:i w:val="0"/>
                <w:color w:val="000000"/>
                <w:kern w:val="0"/>
                <w:sz w:val="24"/>
                <w:szCs w:val="24"/>
                <w:u w:val="none"/>
                <w:lang w:val="en-US" w:eastAsia="zh-CN" w:bidi="ar"/>
              </w:rPr>
              <w:t>；</w:t>
            </w:r>
          </w:p>
          <w:p>
            <w:pPr>
              <w:keepNext w:val="0"/>
              <w:keepLines w:val="0"/>
              <w:widowControl/>
              <w:suppressLineNumbers w:val="0"/>
              <w:spacing w:after="0" w:line="240" w:lineRule="auto"/>
              <w:ind w:left="0" w:leftChars="0" w:right="0" w:righ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8、需提供产品的质检报告</w:t>
            </w:r>
            <w:r>
              <w:rPr>
                <w:rFonts w:hint="eastAsia" w:ascii="Times New Roman" w:hAnsi="Times New Roman" w:eastAsia="宋体" w:cs="Times New Roman"/>
                <w:i w:val="0"/>
                <w:color w:val="000000"/>
                <w:kern w:val="0"/>
                <w:sz w:val="24"/>
                <w:szCs w:val="24"/>
                <w:u w:val="none"/>
                <w:lang w:val="en-US" w:eastAsia="zh-CN" w:bidi="ar"/>
              </w:rPr>
              <w:t>。</w:t>
            </w:r>
          </w:p>
        </w:tc>
        <w:tc>
          <w:tcPr>
            <w:tcW w:w="756"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150</w:t>
            </w:r>
          </w:p>
        </w:tc>
        <w:tc>
          <w:tcPr>
            <w:tcW w:w="806"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米</w:t>
            </w:r>
          </w:p>
        </w:tc>
        <w:tc>
          <w:tcPr>
            <w:tcW w:w="1033"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600.00</w:t>
            </w:r>
          </w:p>
        </w:tc>
        <w:tc>
          <w:tcPr>
            <w:tcW w:w="1220"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6" w:hRule="atLeast"/>
        </w:trPr>
        <w:tc>
          <w:tcPr>
            <w:tcW w:w="761"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w:t>
            </w:r>
          </w:p>
        </w:tc>
        <w:tc>
          <w:tcPr>
            <w:tcW w:w="1185"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工时费</w:t>
            </w:r>
          </w:p>
        </w:tc>
        <w:tc>
          <w:tcPr>
            <w:tcW w:w="3639" w:type="dxa"/>
            <w:noWrap w:val="0"/>
            <w:vAlign w:val="center"/>
          </w:tcPr>
          <w:p>
            <w:pPr>
              <w:keepNext w:val="0"/>
              <w:keepLines w:val="0"/>
              <w:widowControl/>
              <w:suppressLineNumbers w:val="0"/>
              <w:spacing w:after="0" w:line="240" w:lineRule="auto"/>
              <w:ind w:left="0" w:leftChars="0" w:right="0" w:rightChars="0" w:firstLine="0" w:firstLine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工时费为包干价，包括但不限于开孔、恢复、成品保护、安装及新增不超过3米桥架费用（末端电源箱含元器件由甲方提供）</w:t>
            </w:r>
          </w:p>
        </w:tc>
        <w:tc>
          <w:tcPr>
            <w:tcW w:w="756"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806"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w:t>
            </w:r>
          </w:p>
        </w:tc>
        <w:tc>
          <w:tcPr>
            <w:tcW w:w="1033"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7500.00</w:t>
            </w:r>
          </w:p>
        </w:tc>
        <w:tc>
          <w:tcPr>
            <w:tcW w:w="1220"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7500.00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6" w:hRule="atLeast"/>
        </w:trPr>
        <w:tc>
          <w:tcPr>
            <w:tcW w:w="761"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w:t>
            </w:r>
          </w:p>
        </w:tc>
        <w:tc>
          <w:tcPr>
            <w:tcW w:w="4824" w:type="dxa"/>
            <w:gridSpan w:val="2"/>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合计</w:t>
            </w:r>
          </w:p>
        </w:tc>
        <w:tc>
          <w:tcPr>
            <w:tcW w:w="756"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06"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033"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20" w:type="dxa"/>
            <w:noWrap w:val="0"/>
            <w:vAlign w:val="center"/>
          </w:tcPr>
          <w:p>
            <w:pPr>
              <w:keepNext w:val="0"/>
              <w:keepLines w:val="0"/>
              <w:widowControl/>
              <w:suppressLineNumbers w:val="0"/>
              <w:spacing w:after="0" w:line="240" w:lineRule="auto"/>
              <w:ind w:left="0" w:leftChars="0" w:right="0" w:rightChars="0" w:firstLine="0" w:firstLine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97500.00</w:t>
            </w:r>
          </w:p>
        </w:tc>
      </w:tr>
    </w:tbl>
    <w:p>
      <w:pPr>
        <w:pStyle w:val="2"/>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注：1、以上单价为最高限制单价，电缆据实结算；</w:t>
      </w:r>
    </w:p>
    <w:p>
      <w:pPr>
        <w:pStyle w:val="2"/>
        <w:ind w:firstLine="482" w:firstLineChars="20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2、需提供电缆样品（样品长度不低于10cm，样品归采购人，作为材料进场对比依据，不再退还。）及该样品电缆的相关检测及测试报告。</w:t>
      </w:r>
    </w:p>
    <w:p>
      <w:pPr>
        <w:pStyle w:val="2"/>
        <w:rPr>
          <w:rFonts w:hint="eastAsia" w:ascii="黑体" w:hAnsi="黑体" w:eastAsia="黑体" w:cs="黑体"/>
          <w:b w:val="0"/>
          <w:bCs w:val="0"/>
          <w:color w:val="auto"/>
          <w:sz w:val="32"/>
          <w:szCs w:val="32"/>
          <w:lang w:val="en-US" w:eastAsia="zh-CN"/>
        </w:rPr>
      </w:pPr>
    </w:p>
    <w:p>
      <w:pPr>
        <w:rPr>
          <w:rFonts w:hint="eastAsia"/>
          <w:lang w:val="en-US" w:eastAsia="zh-CN"/>
        </w:rPr>
      </w:pPr>
    </w:p>
    <w:p>
      <w:pPr>
        <w:pStyle w:val="5"/>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1.质保期：整体工程质保期不少于2 年，质保期自工程验收合格之日起计算。</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b w:val="0"/>
          <w:bCs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 xml:space="preserve">2.售后响应：质保期内，如出现电缆质量、安装工艺等问题，中标方需在接到通知后 </w:t>
      </w:r>
      <w:bookmarkStart w:id="13" w:name="_GoBack"/>
      <w:bookmarkEnd w:id="13"/>
      <w:r>
        <w:rPr>
          <w:rFonts w:hint="eastAsia" w:asciiTheme="minorEastAsia" w:hAnsiTheme="minorEastAsia" w:eastAsiaTheme="minorEastAsia" w:cstheme="minorEastAsia"/>
          <w:b w:val="0"/>
          <w:bCs w:val="0"/>
          <w:color w:val="auto"/>
          <w:sz w:val="28"/>
          <w:szCs w:val="28"/>
          <w:lang w:val="en-US" w:eastAsia="zh-CN"/>
        </w:rPr>
        <w:t>24 小时内派员到场处理，无偿提供维修、更换服务；质保期外提供终身技术支持及有偿维修服务。</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b w:val="0"/>
          <w:bCs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3.资质要求：供应商须具有建设行政主管部门核发的电力工程施工总承包叁级及以上资质或输变电工程专业承包叁级及以上资质；并具有有效的《安全生产许可证》。</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b w:val="0"/>
          <w:bCs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4.测试项目：电缆敷设完成后，需进行绝缘电阻测试、直流耐压试验、相位核对等测试；</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b w:val="0"/>
          <w:bCs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inorEastAsia" w:hAnsiTheme="minorEastAsia" w:eastAsiaTheme="minorEastAsia" w:cstheme="minorEastAsia"/>
          <w:b w:val="0"/>
          <w:bCs w:val="0"/>
          <w:color w:val="auto"/>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 xml:space="preserve">5.资料交付：验收合格后 15 日内，中标方需向招标方提交完整的竣工资料，包括但不限于电缆产品合格证、检测报告、竣工图、敷设记录、测试报告、验收记录等（纸质版一式三份，电子版一份）。 </w:t>
      </w:r>
    </w:p>
    <w:p>
      <w:pPr>
        <w:bidi w:val="0"/>
        <w:ind w:left="0" w:leftChars="0" w:firstLine="0" w:firstLineChars="0"/>
        <w:rPr>
          <w:rFonts w:hint="eastAsia" w:ascii="黑体" w:hAnsi="黑体" w:eastAsia="黑体" w:cs="黑体"/>
          <w:b/>
          <w:bCs/>
          <w:color w:val="auto"/>
          <w:sz w:val="32"/>
          <w:szCs w:val="32"/>
          <w:lang w:val="en-US" w:eastAsia="zh-CN"/>
        </w:rPr>
      </w:pPr>
    </w:p>
    <w:p>
      <w:pPr>
        <w:bidi w:val="0"/>
        <w:ind w:left="0" w:leftChars="0" w:firstLine="0" w:firstLineChars="0"/>
        <w:rPr>
          <w:rFonts w:hint="eastAsia" w:ascii="黑体" w:hAnsi="黑体" w:eastAsia="黑体" w:cs="黑体"/>
          <w:b/>
          <w:bCs/>
          <w:color w:val="auto"/>
          <w:sz w:val="32"/>
          <w:szCs w:val="32"/>
          <w:lang w:val="en-US" w:eastAsia="zh-CN"/>
        </w:rPr>
        <w:sectPr>
          <w:headerReference r:id="rId3" w:type="default"/>
          <w:footerReference r:id="rId4" w:type="default"/>
          <w:pgSz w:w="11906" w:h="16838"/>
          <w:pgMar w:top="1587" w:right="1474" w:bottom="1474" w:left="1587" w:header="851" w:footer="992" w:gutter="0"/>
          <w:lnNumType w:countBy="0" w:restart="continuous"/>
          <w:cols w:space="425" w:num="1"/>
          <w:docGrid w:type="lines" w:linePitch="312" w:charSpace="0"/>
        </w:sectPr>
      </w:pPr>
    </w:p>
    <w:p>
      <w:pPr>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附件二：   响应文件格式</w:t>
      </w:r>
    </w:p>
    <w:p>
      <w:pPr>
        <w:numPr>
          <w:ilvl w:val="0"/>
          <w:numId w:val="1"/>
        </w:numPr>
        <w:ind w:left="160" w:leftChars="0" w:right="420" w:firstLine="0" w:firstLineChars="0"/>
        <w:rPr>
          <w:rFonts w:hint="eastAsia"/>
          <w:b/>
          <w:szCs w:val="21"/>
        </w:rPr>
      </w:pPr>
      <w:r>
        <w:rPr>
          <w:rFonts w:hint="eastAsia" w:ascii="宋体" w:hAnsi="宋体" w:eastAsia="宋体" w:cs="宋体"/>
          <w:b w:val="0"/>
          <w:bCs w:val="0"/>
          <w:color w:val="auto"/>
          <w:sz w:val="32"/>
          <w:szCs w:val="32"/>
        </w:rPr>
        <w:t>首次报价表一览表</w:t>
      </w:r>
      <w:r>
        <w:rPr>
          <w:rFonts w:hint="eastAsia" w:ascii="宋体" w:hAnsi="宋体" w:eastAsia="宋体" w:cs="宋体"/>
          <w:b w:val="0"/>
          <w:bCs w:val="0"/>
          <w:szCs w:val="21"/>
        </w:rPr>
        <w:t xml:space="preserve"> </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lang w:val="en-US" w:eastAsia="zh-CN"/>
        </w:rPr>
        <w:t>格式自拟</w:t>
      </w:r>
      <w:r>
        <w:rPr>
          <w:rFonts w:hint="eastAsia" w:ascii="宋体" w:hAnsi="宋体" w:eastAsia="宋体" w:cs="宋体"/>
          <w:b w:val="0"/>
          <w:bCs w:val="0"/>
          <w:sz w:val="28"/>
          <w:szCs w:val="28"/>
          <w:lang w:eastAsia="zh-CN"/>
        </w:rPr>
        <w:t>）；</w:t>
      </w:r>
      <w:r>
        <w:rPr>
          <w:rFonts w:hint="eastAsia" w:ascii="宋体" w:hAnsi="宋体" w:eastAsia="宋体" w:cs="宋体"/>
          <w:b w:val="0"/>
          <w:bCs w:val="0"/>
          <w:szCs w:val="21"/>
        </w:rPr>
        <w:t xml:space="preserve">                  </w:t>
      </w:r>
      <w:r>
        <w:rPr>
          <w:rFonts w:hint="eastAsia"/>
          <w:b/>
          <w:szCs w:val="21"/>
        </w:rPr>
        <w:t xml:space="preserve">             </w:t>
      </w:r>
    </w:p>
    <w:p>
      <w:pPr>
        <w:numPr>
          <w:ilvl w:val="0"/>
          <w:numId w:val="1"/>
        </w:numPr>
        <w:ind w:left="160" w:leftChars="0" w:right="420" w:firstLine="0" w:firstLineChars="0"/>
        <w:rPr>
          <w:rFonts w:hint="eastAsia" w:ascii="宋体" w:hAnsi="宋体" w:cs="宋体"/>
          <w:b/>
          <w:bCs/>
          <w:sz w:val="32"/>
          <w:szCs w:val="32"/>
          <w:lang w:val="en-US" w:eastAsia="zh-CN"/>
        </w:rPr>
      </w:pPr>
      <w:r>
        <w:rPr>
          <w:rFonts w:hint="eastAsia" w:ascii="宋体" w:hAnsi="宋体" w:cs="宋体"/>
          <w:b/>
          <w:bCs/>
          <w:sz w:val="32"/>
          <w:szCs w:val="32"/>
          <w:lang w:val="en-US" w:eastAsia="zh-CN"/>
        </w:rPr>
        <w:t>资格审查部分：</w:t>
      </w:r>
    </w:p>
    <w:p>
      <w:pPr>
        <w:widowControl/>
        <w:spacing w:line="360" w:lineRule="auto"/>
        <w:jc w:val="center"/>
        <w:rPr>
          <w:rFonts w:hint="eastAsia" w:ascii="宋体" w:hAnsi="宋体" w:eastAsia="宋体" w:cs="宋体"/>
          <w:b/>
          <w:bCs/>
          <w:color w:val="auto"/>
          <w:sz w:val="24"/>
          <w:szCs w:val="24"/>
        </w:rPr>
      </w:pPr>
      <w:r>
        <w:rPr>
          <w:rFonts w:hint="eastAsia" w:ascii="宋体" w:hAnsi="宋体" w:cs="宋体"/>
          <w:b/>
          <w:bCs/>
          <w:sz w:val="24"/>
          <w:szCs w:val="24"/>
          <w:lang w:val="en-US" w:eastAsia="zh-CN"/>
        </w:rPr>
        <w:t>2.1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pStyle w:val="2"/>
        <w:rPr>
          <w:rFonts w:hint="eastAsia"/>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numPr>
          <w:ilvl w:val="0"/>
          <w:numId w:val="0"/>
        </w:numPr>
        <w:ind w:leftChars="0"/>
        <w:rPr>
          <w:rFonts w:hint="eastAsia" w:ascii="宋体" w:hAnsi="宋体" w:eastAsia="宋体" w:cs="宋体"/>
          <w:sz w:val="28"/>
          <w:szCs w:val="28"/>
          <w:lang w:val="en-US" w:eastAsia="zh-CN"/>
        </w:rPr>
      </w:pPr>
    </w:p>
    <w:p>
      <w:pPr>
        <w:pStyle w:val="4"/>
        <w:rPr>
          <w:rFonts w:hint="eastAsia" w:ascii="宋体" w:hAnsi="宋体" w:eastAsia="宋体" w:cs="宋体"/>
          <w:sz w:val="28"/>
          <w:szCs w:val="28"/>
          <w:lang w:val="en-US" w:eastAsia="zh-CN"/>
        </w:rPr>
      </w:pPr>
    </w:p>
    <w:p>
      <w:pPr>
        <w:pStyle w:val="4"/>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提供</w:t>
      </w:r>
      <w:r>
        <w:rPr>
          <w:rFonts w:hint="eastAsia" w:ascii="宋体" w:hAnsi="宋体" w:eastAsia="宋体" w:cs="宋体"/>
          <w:b/>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pStyle w:val="2"/>
        <w:rPr>
          <w:rFonts w:hint="eastAsia"/>
          <w:lang w:val="en-US" w:eastAsia="zh-CN"/>
        </w:rPr>
      </w:pPr>
    </w:p>
    <w:p>
      <w:pPr>
        <w:pStyle w:val="5"/>
        <w:rPr>
          <w:rFonts w:hint="eastAsia"/>
          <w:lang w:val="en-US" w:eastAsia="zh-CN"/>
        </w:rPr>
      </w:pPr>
    </w:p>
    <w:p>
      <w:pPr>
        <w:rPr>
          <w:rFonts w:hint="eastAsia"/>
          <w:lang w:val="en-US" w:eastAsia="zh-CN"/>
        </w:rPr>
      </w:pPr>
    </w:p>
    <w:p>
      <w:pPr>
        <w:pStyle w:val="2"/>
        <w:rPr>
          <w:rFonts w:hint="eastAsia"/>
          <w:lang w:val="en-US" w:eastAsia="zh-CN"/>
        </w:rPr>
      </w:pPr>
    </w:p>
    <w:p>
      <w:pPr>
        <w:pStyle w:val="5"/>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bidi w:val="0"/>
        <w:rPr>
          <w:rFonts w:hint="eastAsia" w:ascii="宋体" w:hAnsi="宋体" w:eastAsia="宋体" w:cs="宋体"/>
          <w:b/>
          <w:bCs/>
          <w:sz w:val="28"/>
          <w:szCs w:val="28"/>
          <w:lang w:val="en-US" w:eastAsia="zh-CN"/>
        </w:rPr>
      </w:pPr>
      <w:r>
        <w:rPr>
          <w:rFonts w:hint="eastAsia" w:asciiTheme="minorEastAsia" w:hAnsiTheme="minorEastAsia" w:eastAsiaTheme="minorEastAsia" w:cstheme="minorEastAsia"/>
          <w:b/>
          <w:bCs/>
          <w:color w:val="auto"/>
          <w:sz w:val="28"/>
          <w:szCs w:val="28"/>
          <w:lang w:val="en-US" w:eastAsia="zh-CN"/>
        </w:rPr>
        <w:t>2.4</w:t>
      </w:r>
      <w:r>
        <w:rPr>
          <w:rFonts w:hint="eastAsia" w:asciiTheme="minorEastAsia" w:hAnsiTheme="minorEastAsia" w:eastAsiaTheme="minorEastAsia" w:cstheme="minorEastAsia"/>
          <w:b/>
          <w:bCs/>
          <w:color w:val="auto"/>
          <w:sz w:val="28"/>
          <w:szCs w:val="28"/>
          <w:lang w:val="en-US"/>
        </w:rPr>
        <w:t>提供参加政府采购活动前三年内在经营活动中没有重大违法记录及违规违纪行为的书面声明</w:t>
      </w:r>
      <w:r>
        <w:rPr>
          <w:rFonts w:hint="eastAsia" w:ascii="宋体" w:hAnsi="宋体" w:eastAsia="宋体" w:cs="宋体"/>
          <w:b/>
          <w:bCs/>
          <w:sz w:val="28"/>
          <w:szCs w:val="28"/>
          <w:lang w:val="en-US" w:eastAsia="zh-CN"/>
        </w:rPr>
        <w:t>。</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致：[采购单位名称]</w:t>
      </w:r>
    </w:p>
    <w:p>
      <w:pPr>
        <w:pStyle w:val="5"/>
        <w:rPr>
          <w:rFonts w:hint="eastAsia" w:ascii="仿宋" w:hAnsi="仿宋" w:eastAsia="仿宋" w:cs="仿宋"/>
          <w:lang w:val="en-US" w:eastAsia="zh-CN"/>
        </w:rPr>
      </w:pP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我单位[投标人全称]，统一社会信用代码为[具体代码]，现参与贵方组织的[项目名称]（项目编号：[具体编号]）的投标活动。在此，郑重作出如下声明：</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特此声明！</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投标人名称（加盖公章）：____________________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法定代表人/负责人（签字或盖章）：____________________</w:t>
      </w:r>
    </w:p>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日期：______年____月____日</w:t>
      </w:r>
    </w:p>
    <w:p>
      <w:pPr>
        <w:pStyle w:val="5"/>
        <w:ind w:left="0" w:leftChars="0" w:firstLine="0" w:firstLineChars="0"/>
        <w:rPr>
          <w:rFonts w:hint="eastAsia" w:ascii="仿宋" w:hAnsi="仿宋" w:eastAsia="仿宋" w:cs="仿宋"/>
          <w:b/>
          <w:bCs/>
          <w:sz w:val="28"/>
          <w:szCs w:val="28"/>
          <w:lang w:val="en-US" w:eastAsia="zh-CN"/>
        </w:rPr>
      </w:pPr>
    </w:p>
    <w:p>
      <w:pPr>
        <w:pStyle w:val="5"/>
        <w:ind w:left="0" w:leftChars="0" w:firstLine="0" w:firstLineChars="0"/>
        <w:rPr>
          <w:rFonts w:hint="default" w:ascii="仿宋" w:hAnsi="仿宋" w:eastAsia="仿宋" w:cs="仿宋"/>
          <w:b/>
          <w:bCs/>
          <w:sz w:val="28"/>
          <w:szCs w:val="28"/>
          <w:lang w:val="en-US" w:eastAsia="zh-CN"/>
        </w:rPr>
      </w:pPr>
      <w:r>
        <w:rPr>
          <w:rFonts w:hint="eastAsia" w:ascii="宋体" w:hAnsi="宋体" w:eastAsia="宋体" w:cs="宋体"/>
          <w:b/>
          <w:bCs/>
          <w:sz w:val="28"/>
          <w:szCs w:val="28"/>
          <w:lang w:val="en-US" w:eastAsia="zh-CN"/>
        </w:rPr>
        <w:t>2.5特定资质证明材料。</w:t>
      </w:r>
    </w:p>
    <w:p>
      <w:pPr>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w:t>
      </w:r>
      <w:r>
        <w:rPr>
          <w:rFonts w:hint="eastAsia" w:ascii="宋体" w:hAnsi="宋体" w:eastAsia="宋体" w:cs="宋体"/>
          <w:sz w:val="28"/>
          <w:szCs w:val="28"/>
          <w:lang w:val="en-US" w:eastAsia="zh-CN"/>
        </w:rPr>
        <w:t xml:space="preserve"> 技术部分：</w:t>
      </w:r>
    </w:p>
    <w:p>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.1</w:t>
      </w:r>
      <w:r>
        <w:rPr>
          <w:rFonts w:hint="eastAsia" w:asciiTheme="minorEastAsia" w:hAnsiTheme="minorEastAsia" w:eastAsiaTheme="minorEastAsia" w:cstheme="minorEastAsia"/>
          <w:sz w:val="28"/>
          <w:szCs w:val="28"/>
          <w:lang w:val="en-US" w:eastAsia="zh-CN"/>
        </w:rPr>
        <w:t>产品技术资料及产品质量保证等。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3.2服务方案及售后服务承诺。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3.3供应商认为须提供的其他材料。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pgSz w:w="11906" w:h="16838"/>
          <w:pgMar w:top="1474" w:right="1474" w:bottom="1474" w:left="1474" w:header="851" w:footer="992" w:gutter="0"/>
          <w:lnNumType w:countBy="0" w:restart="continuous"/>
          <w:cols w:space="425" w:num="1"/>
          <w:docGrid w:type="lines" w:linePitch="312" w:charSpace="0"/>
        </w:sect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4</w:t>
      </w:r>
      <w:r>
        <w:rPr>
          <w:rFonts w:hint="eastAsia" w:ascii="宋体" w:hAnsi="宋体" w:eastAsia="宋体" w:cs="宋体"/>
          <w:b/>
          <w:bCs/>
          <w:sz w:val="28"/>
          <w:szCs w:val="28"/>
          <w:lang w:val="en-US" w:eastAsia="zh-CN"/>
        </w:rPr>
        <w:t>.《中小企业声明函》或《残疾人福利性单位声明函》或《监狱企业声明函》（如有）。</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center"/>
        <w:textAlignment w:val="auto"/>
        <w:rPr>
          <w:rFonts w:hint="eastAsia" w:ascii="楷体_GB2312" w:hAnsi="楷体_GB2312" w:eastAsia="楷体_GB2312" w:cs="楷体_GB2312"/>
          <w:b/>
          <w:color w:val="auto"/>
          <w:sz w:val="28"/>
          <w:szCs w:val="28"/>
        </w:rPr>
      </w:pPr>
      <w:bookmarkStart w:id="1" w:name="_Toc12278"/>
      <w:bookmarkStart w:id="2" w:name="_Toc9923"/>
      <w:bookmarkStart w:id="3" w:name="_Toc7334"/>
      <w:r>
        <w:rPr>
          <w:rFonts w:hint="eastAsia" w:ascii="楷体_GB2312" w:hAnsi="楷体_GB2312" w:eastAsia="楷体_GB2312" w:cs="楷体_GB2312"/>
          <w:b/>
          <w:color w:val="auto"/>
          <w:sz w:val="28"/>
          <w:szCs w:val="28"/>
        </w:rPr>
        <w:t>中小企业声明函（如有）</w:t>
      </w:r>
      <w:bookmarkEnd w:id="1"/>
      <w:bookmarkEnd w:id="2"/>
      <w:bookmarkEnd w:id="3"/>
    </w:p>
    <w:p>
      <w:pPr>
        <w:pStyle w:val="2"/>
        <w:rPr>
          <w:rFonts w:hint="eastAsia" w:ascii="楷体_GB2312" w:hAnsi="楷体_GB2312" w:eastAsia="楷体_GB2312" w:cs="楷体_GB2312"/>
          <w:b/>
          <w:color w:val="auto"/>
          <w:sz w:val="28"/>
          <w:szCs w:val="28"/>
        </w:rPr>
      </w:pP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本公司郑重声明， 根据《政府采购促进中小企业发展管理办法》（财库 （2020） 46 号）的规定， 本公司参加</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（单位名称）的</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u w:val="single"/>
        </w:rPr>
        <w:t>（项目名称）</w:t>
      </w:r>
      <w:r>
        <w:rPr>
          <w:rFonts w:hint="eastAsia" w:ascii="仿宋_GB2312" w:hAnsi="仿宋_GB2312" w:eastAsia="仿宋_GB2312" w:cs="仿宋_GB2312"/>
          <w:sz w:val="28"/>
          <w:szCs w:val="28"/>
        </w:rPr>
        <w:t xml:space="preserve">采购活动，提供的货物全部由符合政策要求的中小企业制造。  </w:t>
      </w: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相关企业的具体情况如下：</w:t>
      </w: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1.（标的名称），属于（采购文件中明确的所属行业）行业；制造商为</w:t>
      </w:r>
      <w:r>
        <w:rPr>
          <w:rFonts w:hint="eastAsia" w:ascii="仿宋_GB2312" w:hAnsi="仿宋_GB2312" w:eastAsia="仿宋_GB2312" w:cs="仿宋_GB2312"/>
          <w:sz w:val="28"/>
          <w:szCs w:val="28"/>
          <w:u w:val="single"/>
        </w:rPr>
        <w:t xml:space="preserve"> （企业名称）</w:t>
      </w:r>
      <w:r>
        <w:rPr>
          <w:rFonts w:hint="eastAsia" w:ascii="仿宋_GB2312" w:hAnsi="仿宋_GB2312" w:eastAsia="仿宋_GB2312" w:cs="仿宋_GB2312"/>
          <w:sz w:val="28"/>
          <w:szCs w:val="28"/>
        </w:rPr>
        <w:t>，从业人员</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人， 营业收入为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万元，资产总额为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万元1，属于</w:t>
      </w:r>
      <w:r>
        <w:rPr>
          <w:rFonts w:hint="eastAsia" w:ascii="仿宋_GB2312" w:hAnsi="仿宋_GB2312" w:eastAsia="仿宋_GB2312" w:cs="仿宋_GB2312"/>
          <w:sz w:val="28"/>
          <w:szCs w:val="28"/>
          <w:u w:val="single"/>
        </w:rPr>
        <w:t>（中型企业、 小型企业、 微型企业）</w:t>
      </w: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以上企业，不属于大型企业的分支机构，不存在控股股东为大企业的情形，也不存在与大企业的负责任人为同一人的情形。</w:t>
      </w: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本企业对上述声明内容的真实性负责，如有虚假，将依法承担相应责任。</w:t>
      </w: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供应商（签字或盖章）：                        </w:t>
      </w: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供应商代表签字：                           </w:t>
      </w: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（从业人员、营业收入、资产总额填报上一年度数据，无上一年度数据的新成立企业可不填报。）</w:t>
      </w:r>
    </w:p>
    <w:p>
      <w:pPr>
        <w:pStyle w:val="2"/>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eastAsia" w:ascii="宋体" w:hAnsi="宋体" w:eastAsia="宋体" w:cs="宋体"/>
          <w:sz w:val="28"/>
          <w:szCs w:val="28"/>
        </w:rPr>
      </w:pPr>
    </w:p>
    <w:p>
      <w:pPr>
        <w:pStyle w:val="15"/>
        <w:ind w:firstLine="0" w:firstLineChars="0"/>
        <w:jc w:val="center"/>
        <w:rPr>
          <w:rFonts w:hint="eastAsia" w:ascii="宋体" w:hAnsi="宋体" w:eastAsia="宋体" w:cs="宋体"/>
          <w:b/>
          <w:color w:val="auto"/>
          <w:sz w:val="24"/>
          <w:szCs w:val="24"/>
        </w:rPr>
      </w:pPr>
      <w:bookmarkStart w:id="4" w:name="_Toc12194"/>
      <w:bookmarkStart w:id="5" w:name="_Toc6320"/>
      <w:bookmarkStart w:id="6" w:name="_Toc8849"/>
      <w:bookmarkStart w:id="7" w:name="_Toc27763"/>
      <w:bookmarkStart w:id="8" w:name="_Toc26663"/>
      <w:bookmarkStart w:id="9" w:name="_Toc25914"/>
    </w:p>
    <w:p>
      <w:pPr>
        <w:pStyle w:val="15"/>
        <w:ind w:firstLine="0" w:firstLineChars="0"/>
        <w:jc w:val="center"/>
        <w:rPr>
          <w:rFonts w:hint="eastAsia" w:ascii="宋体" w:hAnsi="宋体" w:eastAsia="宋体" w:cs="宋体"/>
          <w:b/>
          <w:color w:val="auto"/>
          <w:sz w:val="24"/>
          <w:szCs w:val="24"/>
        </w:rPr>
      </w:pPr>
    </w:p>
    <w:p>
      <w:pPr>
        <w:pStyle w:val="15"/>
        <w:ind w:firstLine="0" w:firstLineChars="0"/>
        <w:jc w:val="center"/>
        <w:rPr>
          <w:rFonts w:hint="eastAsia" w:ascii="宋体" w:hAnsi="宋体" w:eastAsia="宋体" w:cs="宋体"/>
          <w:b/>
          <w:color w:val="auto"/>
          <w:sz w:val="24"/>
          <w:szCs w:val="24"/>
        </w:rPr>
      </w:pPr>
    </w:p>
    <w:p>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pPr>
        <w:pStyle w:val="13"/>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3"/>
        <w:widowControl/>
        <w:ind w:firstLine="0"/>
        <w:rPr>
          <w:rFonts w:hint="eastAsia" w:ascii="宋体" w:hAnsi="宋体" w:eastAsia="宋体" w:cs="宋体"/>
          <w:color w:val="auto"/>
          <w:sz w:val="24"/>
          <w:szCs w:val="24"/>
        </w:rPr>
      </w:pPr>
    </w:p>
    <w:p>
      <w:pPr>
        <w:pStyle w:val="4"/>
        <w:numPr>
          <w:ilvl w:val="0"/>
          <w:numId w:val="0"/>
        </w:numPr>
        <w:jc w:val="both"/>
        <w:rPr>
          <w:rFonts w:hint="eastAsia"/>
          <w:lang w:val="en-US" w:eastAsia="zh-CN"/>
        </w:rPr>
      </w:pPr>
    </w:p>
    <w:p>
      <w:pPr>
        <w:pStyle w:val="4"/>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0" w:name="_Toc8907"/>
      <w:bookmarkStart w:id="11" w:name="_Toc26397"/>
      <w:bookmarkStart w:id="12" w:name="_Toc24071"/>
    </w:p>
    <w:p>
      <w:pPr>
        <w:pStyle w:val="2"/>
        <w:rPr>
          <w:rFonts w:hint="eastAsia"/>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ind w:firstLine="2409" w:firstLineChars="1000"/>
        <w:jc w:val="both"/>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5"/>
        <w:ind w:firstLine="0" w:firstLineChars="0"/>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p>
    <w:p>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供应商代表签字：</w:t>
      </w:r>
      <w:r>
        <w:rPr>
          <w:rFonts w:hint="eastAsia" w:ascii="宋体" w:hAnsi="宋体" w:eastAsia="宋体" w:cs="宋体"/>
          <w:color w:val="auto"/>
          <w:sz w:val="24"/>
          <w:szCs w:val="24"/>
          <w:u w:val="single"/>
        </w:rPr>
        <w:t xml:space="preserve">                           </w:t>
      </w:r>
    </w:p>
    <w:p>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.无串通行为的承诺函</w:t>
      </w:r>
    </w:p>
    <w:p>
      <w:pPr>
        <w:pStyle w:val="3"/>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jc w:val="center"/>
        <w:textAlignment w:val="auto"/>
        <w:rPr>
          <w:rFonts w:hint="eastAsia" w:ascii="仿宋" w:hAnsi="仿宋" w:eastAsia="仿宋" w:cs="仿宋"/>
          <w:b w:val="0"/>
          <w:bCs w:val="0"/>
          <w:color w:val="auto"/>
          <w:kern w:val="0"/>
          <w:sz w:val="24"/>
          <w:szCs w:val="24"/>
          <w:highlight w:val="none"/>
        </w:rPr>
      </w:pPr>
      <w:r>
        <w:rPr>
          <w:rFonts w:hint="eastAsia" w:ascii="仿宋" w:hAnsi="仿宋" w:eastAsia="仿宋" w:cs="仿宋"/>
          <w:sz w:val="24"/>
          <w:szCs w:val="24"/>
        </w:rPr>
        <w:t>承诺函</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sectPr>
      <w:pgSz w:w="11906" w:h="16838"/>
      <w:pgMar w:top="1474" w:right="1474" w:bottom="1474" w:left="1474"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FA203A"/>
    <w:multiLevelType w:val="singleLevel"/>
    <w:tmpl w:val="C5FA203A"/>
    <w:lvl w:ilvl="0" w:tentative="0">
      <w:start w:val="1"/>
      <w:numFmt w:val="decimal"/>
      <w:lvlText w:val="%1."/>
      <w:lvlJc w:val="left"/>
      <w:pPr>
        <w:tabs>
          <w:tab w:val="left" w:pos="312"/>
        </w:tabs>
        <w:ind w:left="16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4416D1A"/>
    <w:rsid w:val="04D277CD"/>
    <w:rsid w:val="092471B0"/>
    <w:rsid w:val="0C9213F8"/>
    <w:rsid w:val="0CD60EEA"/>
    <w:rsid w:val="0CEE54C8"/>
    <w:rsid w:val="137D4A28"/>
    <w:rsid w:val="14AB44EF"/>
    <w:rsid w:val="16823494"/>
    <w:rsid w:val="18486BBA"/>
    <w:rsid w:val="1BA261C1"/>
    <w:rsid w:val="1DDD6FCB"/>
    <w:rsid w:val="20022706"/>
    <w:rsid w:val="224A136D"/>
    <w:rsid w:val="292F7978"/>
    <w:rsid w:val="29606563"/>
    <w:rsid w:val="2D795D59"/>
    <w:rsid w:val="2F761250"/>
    <w:rsid w:val="328F2A57"/>
    <w:rsid w:val="39CF310B"/>
    <w:rsid w:val="3D944C56"/>
    <w:rsid w:val="46930758"/>
    <w:rsid w:val="46D1471D"/>
    <w:rsid w:val="48711144"/>
    <w:rsid w:val="48DD6EFD"/>
    <w:rsid w:val="4A2E6CCE"/>
    <w:rsid w:val="4ABE7791"/>
    <w:rsid w:val="4C6A2EA4"/>
    <w:rsid w:val="4D93335D"/>
    <w:rsid w:val="51284122"/>
    <w:rsid w:val="521D069E"/>
    <w:rsid w:val="524763D0"/>
    <w:rsid w:val="53B333B0"/>
    <w:rsid w:val="56D72364"/>
    <w:rsid w:val="58B53CD8"/>
    <w:rsid w:val="59CE44C9"/>
    <w:rsid w:val="5AF328A5"/>
    <w:rsid w:val="5F00140B"/>
    <w:rsid w:val="62392F01"/>
    <w:rsid w:val="6485363A"/>
    <w:rsid w:val="68DF777A"/>
    <w:rsid w:val="69D52565"/>
    <w:rsid w:val="6A0F4385"/>
    <w:rsid w:val="6B8F6694"/>
    <w:rsid w:val="6C296F4C"/>
    <w:rsid w:val="7086465D"/>
    <w:rsid w:val="750E2C4B"/>
    <w:rsid w:val="79584E1A"/>
    <w:rsid w:val="7C820D0D"/>
    <w:rsid w:val="7CCC6DC0"/>
    <w:rsid w:val="7F482A1E"/>
    <w:rsid w:val="7F7C4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rPr>
      <w:sz w:val="44"/>
    </w:rPr>
  </w:style>
  <w:style w:type="paragraph" w:styleId="5">
    <w:name w:val="Date"/>
    <w:basedOn w:val="1"/>
    <w:next w:val="1"/>
    <w:qFormat/>
    <w:uiPriority w:val="0"/>
    <w:pPr>
      <w:ind w:left="100" w:leftChars="2500"/>
    </w:pPr>
  </w:style>
  <w:style w:type="paragraph" w:styleId="6">
    <w:name w:val="Body Text Indent 2"/>
    <w:basedOn w:val="1"/>
    <w:qFormat/>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35</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瑜仔</cp:lastModifiedBy>
  <dcterms:modified xsi:type="dcterms:W3CDTF">2026-01-12T08:40:56Z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