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Theme="majorEastAsia" w:hAnsiTheme="majorEastAsia" w:eastAsiaTheme="majorEastAsia" w:cstheme="majorEastAsia"/>
          <w:b/>
          <w:bCs/>
          <w:sz w:val="30"/>
          <w:szCs w:val="30"/>
          <w:lang w:val="en-US" w:eastAsia="zh-CN"/>
        </w:rPr>
      </w:pPr>
      <w:r>
        <w:rPr>
          <w:rFonts w:hint="eastAsia" w:asciiTheme="majorEastAsia" w:hAnsiTheme="majorEastAsia" w:eastAsiaTheme="majorEastAsia" w:cstheme="majorEastAsia"/>
          <w:b/>
          <w:bCs/>
          <w:sz w:val="30"/>
          <w:szCs w:val="30"/>
          <w:lang w:val="en-US" w:eastAsia="zh-CN"/>
        </w:rPr>
        <w:t>附件1：  除颤监护仪技术规格要求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 重量：≤4.5kg (标配，含电池)。</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 彩色电容触摸屏≥8英寸，分辨率≥1024×768像素，可显示≥5通道监护参数波形，支持手势操作、自动亮度调节。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 提供图形化故障排除指引。</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 支持中文操作界面。</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 屏幕显示心电波形扫描时间≥36s。</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lang w:val="en-US" w:eastAsia="zh-CN"/>
        </w:rPr>
        <w:t>6.★具备手动除颤、心电监护、呼吸监护、自动体外除颤(AED) 功能，</w:t>
      </w:r>
      <w:r>
        <w:rPr>
          <w:rFonts w:hint="eastAsia" w:asciiTheme="majorEastAsia" w:hAnsiTheme="majorEastAsia" w:eastAsiaTheme="majorEastAsia" w:cstheme="majorEastAsia"/>
          <w:sz w:val="24"/>
          <w:szCs w:val="24"/>
          <w:highlight w:val="none"/>
          <w:lang w:val="en-US" w:eastAsia="zh-CN"/>
        </w:rPr>
        <w:t>AED 功能适用于29天以上人群。</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7. 除颤采用双相波技术，具备自动阻抗补偿功能。</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8. 手动除颤分为同步和非同步两种方式，能量分20档以上，可通过体外电极板进行能量选择，最大能量可达360J。</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9. 体外除颤电极板同时支持成人和小儿，一体化设计，支持快速切换。</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10.★电极板支持能量选择，充电和放电三步操作，满足单人除颤操作。</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11.AED 除颤功能提供中文语音和中文提醒功能，对于抢救过程支持自动录音功能，记录时长≥8小时。</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12. 开机到可正常使用时间≤2s。</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13.★除颤充电迅速，充电至200J≤4s。</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14.  除颤后心电基线恢复时间≤2.5s。</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15.  从开始AED分析到放电准备就绪≤10s。</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16. 支持病人接触状态和阻抗值实时显示。</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17. 支持智能分析功能，手动除颤模式下也可提供自动节律分析和操作指引。</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18.  支持培训模式，包含 CPR 操作培训、抢救操作培训；可提供培训考核系统，支持多台设备同时接入进行在线培训、考核。</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19.  心电波形速度支持50 mm/s 、25 mm/s 、12.5 mm/s 、6.25 mm/s。</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20. 通过心电电极片可监测的心律失常分析种类≥27种。</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21.  支持 ST/QT 实时分析。</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 xml:space="preserve">22.  阻抗呼吸率范围：0-200rpm。                   </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23. 提供的监护参数适用于成人，小儿和新生儿，并通过国家三类注册、 CE(MDR) 认证 。</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highlight w:val="none"/>
          <w:lang w:val="en-US" w:eastAsia="zh-CN"/>
        </w:rPr>
        <w:t>24. 支持连接中央站，与科室床旁监护仪共用监护网络。</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25. 支持通过中央站远程修改病人信息和系统时间同步。</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26. 支持提供 IHE HL7协议，满足院前院内急救系统的联网通信。</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27. 标配1块外置智能锂电池，可支持200J 除颤≥300次。</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28. 具备生理报警和技术报警功能，通过声音、文字和灯光3种方式进行报 警。</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29. 配置50mm 记录纸记录仪，可同时打印不少于3通道波形；自动打印除颤记录，单次波形记录时间最大不小于30s，支持连续波形记录。</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30. 可存储≥120小时连续ECG 波形，数据可导出至电脑查看。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31. 关机状态下设备支持每天定时自动运行自检(含监护模块和治疗模块), 支持定期自动大能量自检(最大放电能量)。</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32. 支持设备状态指示灯用户检测。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33.★具备良好的防尘防水性能，防尘防水级别IP55。</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34. 具备优异的抗跌落性能，裸机可承受0.75米跌落冲击。</w:t>
      </w: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rPr>
          <w:rFonts w:hint="eastAsia" w:asciiTheme="majorEastAsia" w:hAnsiTheme="majorEastAsia" w:eastAsiaTheme="majorEastAsia" w:cstheme="majorEastAsia"/>
          <w:sz w:val="30"/>
          <w:szCs w:val="30"/>
          <w:lang w:val="en-US" w:eastAsia="zh-CN"/>
        </w:rPr>
      </w:pPr>
    </w:p>
    <w:p>
      <w:pPr>
        <w:pStyle w:val="2"/>
        <w:rPr>
          <w:rFonts w:hint="default"/>
          <w:sz w:val="32"/>
          <w:szCs w:val="32"/>
          <w:lang w:val="en-US" w:eastAsia="zh-CN"/>
        </w:rPr>
      </w:pPr>
      <w:r>
        <w:rPr>
          <w:rFonts w:hint="eastAsia"/>
          <w:sz w:val="32"/>
          <w:szCs w:val="32"/>
          <w:lang w:val="en-US" w:eastAsia="zh-CN"/>
        </w:rPr>
        <w:t>附件2：评审方法</w:t>
      </w:r>
    </w:p>
    <w:tbl>
      <w:tblPr>
        <w:tblStyle w:val="10"/>
        <w:tblpPr w:leftFromText="180" w:rightFromText="180" w:vertAnchor="text" w:horzAnchor="page" w:tblpX="1320" w:tblpY="100"/>
        <w:tblOverlap w:val="never"/>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66"/>
        <w:gridCol w:w="1545"/>
        <w:gridCol w:w="5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6" w:hRule="atLeast"/>
        </w:trPr>
        <w:tc>
          <w:tcPr>
            <w:tcW w:w="960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是指</w:t>
            </w:r>
            <w:r>
              <w:rPr>
                <w:rFonts w:hint="eastAsia" w:ascii="宋体" w:hAnsi="宋体" w:eastAsia="宋体" w:cs="宋体"/>
                <w:color w:val="auto"/>
                <w:sz w:val="21"/>
                <w:szCs w:val="21"/>
                <w:highlight w:val="none"/>
                <w:lang w:eastAsia="zh-CN"/>
              </w:rPr>
              <w:t>申请文件</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全部实质性要求且按评审因素的量化指标评审得分最高的</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为成交候选</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的评审方法。本项目评审细则详见下表。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trPr>
        <w:tc>
          <w:tcPr>
            <w:tcW w:w="9600" w:type="dxa"/>
            <w:gridSpan w:val="4"/>
            <w:noWrap w:val="0"/>
            <w:vAlign w:val="top"/>
          </w:tcPr>
          <w:p>
            <w:pPr>
              <w:pStyle w:val="2"/>
              <w:ind w:left="0" w:leftChars="0" w:firstLine="0" w:firstLineChars="0"/>
              <w:jc w:val="both"/>
              <w:rPr>
                <w:rFonts w:hint="default"/>
                <w:lang w:val="en-US" w:eastAsia="zh-CN"/>
              </w:rPr>
            </w:pPr>
            <w:r>
              <w:rPr>
                <w:rFonts w:hint="eastAsia" w:ascii="宋体" w:hAnsi="宋体" w:eastAsia="宋体" w:cs="宋体"/>
                <w:b/>
                <w:bCs/>
                <w:sz w:val="21"/>
                <w:szCs w:val="21"/>
                <w:vertAlign w:val="baseline"/>
                <w:lang w:val="en-US" w:eastAsia="zh-CN"/>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960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分值构成：</w:t>
            </w:r>
          </w:p>
          <w:p>
            <w:pPr>
              <w:pStyle w:val="2"/>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总分：100分</w:t>
            </w:r>
          </w:p>
          <w:p>
            <w:pPr>
              <w:pStyle w:val="3"/>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报价部分：</w:t>
            </w:r>
            <w:r>
              <w:rPr>
                <w:rFonts w:hint="eastAsia" w:ascii="宋体" w:hAnsi="宋体" w:cs="宋体"/>
                <w:sz w:val="21"/>
                <w:szCs w:val="21"/>
                <w:lang w:val="en-US" w:eastAsia="zh-CN"/>
              </w:rPr>
              <w:t>40</w:t>
            </w:r>
            <w:r>
              <w:rPr>
                <w:rFonts w:hint="eastAsia" w:ascii="宋体" w:hAnsi="宋体" w:eastAsia="宋体" w:cs="宋体"/>
                <w:sz w:val="21"/>
                <w:szCs w:val="21"/>
                <w:lang w:val="en-US" w:eastAsia="zh-CN"/>
              </w:rPr>
              <w:t>分</w:t>
            </w:r>
          </w:p>
          <w:p>
            <w:pPr>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技术</w:t>
            </w:r>
            <w:r>
              <w:rPr>
                <w:rFonts w:hint="eastAsia" w:ascii="宋体" w:hAnsi="宋体" w:cs="宋体"/>
                <w:sz w:val="21"/>
                <w:szCs w:val="21"/>
                <w:lang w:val="en-US" w:eastAsia="zh-CN"/>
              </w:rPr>
              <w:t>和商务</w:t>
            </w:r>
            <w:r>
              <w:rPr>
                <w:rFonts w:hint="eastAsia" w:ascii="宋体" w:hAnsi="宋体" w:eastAsia="宋体" w:cs="宋体"/>
                <w:sz w:val="21"/>
                <w:szCs w:val="21"/>
                <w:lang w:val="en-US" w:eastAsia="zh-CN"/>
              </w:rPr>
              <w:t>部分：</w:t>
            </w:r>
            <w:r>
              <w:rPr>
                <w:rFonts w:hint="eastAsia" w:ascii="宋体" w:hAnsi="宋体" w:cs="宋体"/>
                <w:sz w:val="21"/>
                <w:szCs w:val="21"/>
                <w:lang w:val="en-US" w:eastAsia="zh-CN"/>
              </w:rPr>
              <w:t>60</w:t>
            </w:r>
            <w:r>
              <w:rPr>
                <w:rFonts w:hint="eastAsia" w:ascii="宋体" w:hAnsi="宋体" w:eastAsia="宋体" w:cs="宋体"/>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876" w:type="dxa"/>
            <w:noWrap w:val="0"/>
            <w:vAlign w:val="center"/>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466" w:type="dxa"/>
            <w:noWrap w:val="0"/>
            <w:vAlign w:val="center"/>
          </w:tcPr>
          <w:p>
            <w:pPr>
              <w:pStyle w:val="2"/>
              <w:ind w:left="0" w:leftChars="0"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分值</w:t>
            </w:r>
          </w:p>
        </w:tc>
        <w:tc>
          <w:tcPr>
            <w:tcW w:w="1545" w:type="dxa"/>
            <w:noWrap w:val="0"/>
            <w:vAlign w:val="center"/>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评分因素</w:t>
            </w:r>
          </w:p>
        </w:tc>
        <w:tc>
          <w:tcPr>
            <w:tcW w:w="5713" w:type="dxa"/>
            <w:noWrap w:val="0"/>
            <w:vAlign w:val="center"/>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0" w:hRule="atLeast"/>
        </w:trPr>
        <w:tc>
          <w:tcPr>
            <w:tcW w:w="876" w:type="dxa"/>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466" w:type="dxa"/>
            <w:noWrap w:val="0"/>
            <w:vAlign w:val="top"/>
          </w:tcPr>
          <w:p>
            <w:pPr>
              <w:pStyle w:val="2"/>
              <w:ind w:left="0" w:leftChars="0" w:firstLine="0" w:firstLineChars="0"/>
              <w:jc w:val="center"/>
              <w:rPr>
                <w:rFonts w:hint="eastAsia" w:ascii="宋体" w:hAnsi="宋体" w:eastAsia="宋体" w:cs="宋体"/>
                <w:b w:val="0"/>
                <w:bCs w:val="0"/>
                <w:sz w:val="21"/>
                <w:szCs w:val="21"/>
                <w:vertAlign w:val="baseline"/>
                <w:lang w:val="en-US" w:eastAsia="zh-CN"/>
              </w:rPr>
            </w:pPr>
          </w:p>
          <w:p>
            <w:pPr>
              <w:pStyle w:val="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报价部分</w:t>
            </w:r>
          </w:p>
          <w:p>
            <w:pPr>
              <w:pStyle w:val="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w:t>
            </w:r>
            <w:r>
              <w:rPr>
                <w:rFonts w:hint="eastAsia" w:ascii="宋体" w:hAnsi="宋体" w:cs="宋体"/>
                <w:b w:val="0"/>
                <w:bCs w:val="0"/>
                <w:sz w:val="21"/>
                <w:szCs w:val="21"/>
                <w:vertAlign w:val="baseline"/>
                <w:lang w:val="en-US" w:eastAsia="zh-CN"/>
              </w:rPr>
              <w:t>40</w:t>
            </w:r>
            <w:r>
              <w:rPr>
                <w:rFonts w:hint="eastAsia" w:ascii="宋体" w:hAnsi="宋体" w:eastAsia="宋体" w:cs="宋体"/>
                <w:b w:val="0"/>
                <w:bCs w:val="0"/>
                <w:sz w:val="21"/>
                <w:szCs w:val="21"/>
                <w:vertAlign w:val="baseline"/>
                <w:lang w:val="en-US" w:eastAsia="zh-CN"/>
              </w:rPr>
              <w:t>分）</w:t>
            </w:r>
          </w:p>
        </w:tc>
        <w:tc>
          <w:tcPr>
            <w:tcW w:w="1545" w:type="dxa"/>
            <w:noWrap w:val="0"/>
            <w:vAlign w:val="center"/>
          </w:tcPr>
          <w:p>
            <w:pPr>
              <w:pStyle w:val="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投标报价</w:t>
            </w:r>
          </w:p>
        </w:tc>
        <w:tc>
          <w:tcPr>
            <w:tcW w:w="5713" w:type="dxa"/>
            <w:noWrap w:val="0"/>
            <w:vAlign w:val="top"/>
          </w:tcPr>
          <w:p>
            <w:pPr>
              <w:pStyle w:val="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i w:val="0"/>
                <w:color w:val="000000"/>
                <w:kern w:val="0"/>
                <w:sz w:val="21"/>
                <w:szCs w:val="21"/>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报价得分=（</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基准价/最后</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w:t>
            </w:r>
            <w:bookmarkEnd w:id="0"/>
            <w:r>
              <w:rPr>
                <w:rFonts w:hint="eastAsia" w:ascii="宋体" w:hAnsi="宋体" w:cs="宋体"/>
                <w:b w:val="0"/>
                <w:bCs w:val="0"/>
                <w:color w:val="auto"/>
                <w:sz w:val="21"/>
                <w:szCs w:val="21"/>
                <w:lang w:val="en-US" w:eastAsia="zh-CN"/>
              </w:rPr>
              <w:t>40</w:t>
            </w:r>
            <w:r>
              <w:rPr>
                <w:rFonts w:hint="eastAsia" w:ascii="宋体" w:hAnsi="宋体" w:eastAsia="宋体" w:cs="宋体"/>
                <w:b w:val="0"/>
                <w:bCs w:val="0"/>
                <w:color w:val="auto"/>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1" w:hRule="atLeast"/>
        </w:trPr>
        <w:tc>
          <w:tcPr>
            <w:tcW w:w="876" w:type="dxa"/>
            <w:vMerge w:val="restart"/>
            <w:noWrap w:val="0"/>
            <w:vAlign w:val="top"/>
          </w:tcPr>
          <w:p>
            <w:pPr>
              <w:pStyle w:val="2"/>
              <w:ind w:left="0" w:leftChars="0" w:firstLine="0" w:firstLineChars="0"/>
              <w:jc w:val="center"/>
              <w:rPr>
                <w:rFonts w:hint="eastAsia" w:ascii="宋体" w:hAnsi="宋体" w:eastAsia="宋体" w:cs="宋体"/>
                <w:color w:val="auto"/>
                <w:sz w:val="21"/>
                <w:szCs w:val="21"/>
                <w:vertAlign w:val="baseline"/>
                <w:lang w:val="en-US" w:eastAsia="zh-CN"/>
              </w:rPr>
            </w:pPr>
          </w:p>
          <w:p>
            <w:pPr>
              <w:pStyle w:val="2"/>
              <w:ind w:left="0" w:leftChars="0" w:firstLine="0" w:firstLineChars="0"/>
              <w:jc w:val="both"/>
              <w:rPr>
                <w:rFonts w:hint="eastAsia" w:ascii="宋体" w:hAnsi="宋体" w:eastAsia="宋体" w:cs="宋体"/>
                <w:color w:val="auto"/>
                <w:sz w:val="21"/>
                <w:szCs w:val="21"/>
                <w:vertAlign w:val="baseline"/>
                <w:lang w:val="en-US" w:eastAsia="zh-CN"/>
              </w:rPr>
            </w:pPr>
          </w:p>
          <w:p>
            <w:pPr>
              <w:pStyle w:val="2"/>
              <w:ind w:left="0" w:leftChars="0" w:firstLine="0" w:firstLineChars="0"/>
              <w:jc w:val="center"/>
              <w:rPr>
                <w:rFonts w:hint="eastAsia" w:ascii="宋体" w:hAnsi="宋体" w:eastAsia="宋体" w:cs="宋体"/>
                <w:color w:val="auto"/>
                <w:sz w:val="21"/>
                <w:szCs w:val="21"/>
                <w:vertAlign w:val="baseline"/>
                <w:lang w:val="en-US" w:eastAsia="zh-CN"/>
              </w:rPr>
            </w:pPr>
          </w:p>
          <w:p>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w:t>
            </w:r>
          </w:p>
          <w:p>
            <w:pPr>
              <w:pStyle w:val="2"/>
              <w:ind w:left="0" w:leftChars="0" w:firstLine="0" w:firstLineChars="0"/>
              <w:rPr>
                <w:rFonts w:hint="eastAsia" w:ascii="宋体" w:hAnsi="宋体" w:eastAsia="宋体" w:cs="宋体"/>
                <w:color w:val="auto"/>
                <w:sz w:val="21"/>
                <w:szCs w:val="21"/>
                <w:vertAlign w:val="baseline"/>
                <w:lang w:val="en-US" w:eastAsia="zh-CN"/>
              </w:rPr>
            </w:pPr>
          </w:p>
          <w:p>
            <w:pPr>
              <w:pStyle w:val="2"/>
              <w:ind w:left="0" w:leftChars="0" w:firstLine="0" w:firstLineChars="0"/>
              <w:jc w:val="center"/>
              <w:rPr>
                <w:rFonts w:hint="eastAsia" w:ascii="宋体" w:hAnsi="宋体" w:eastAsia="宋体" w:cs="宋体"/>
                <w:color w:val="auto"/>
                <w:sz w:val="21"/>
                <w:szCs w:val="21"/>
                <w:vertAlign w:val="baseline"/>
                <w:lang w:val="en-US" w:eastAsia="zh-CN"/>
              </w:rPr>
            </w:pPr>
          </w:p>
          <w:p>
            <w:pPr>
              <w:pStyle w:val="2"/>
              <w:ind w:left="0" w:leftChars="0" w:firstLine="0" w:firstLineChars="0"/>
              <w:jc w:val="center"/>
              <w:rPr>
                <w:rFonts w:hint="eastAsia" w:ascii="宋体" w:hAnsi="宋体" w:eastAsia="宋体" w:cs="宋体"/>
                <w:color w:val="auto"/>
                <w:sz w:val="21"/>
                <w:szCs w:val="21"/>
                <w:vertAlign w:val="baseline"/>
                <w:lang w:val="en-US" w:eastAsia="zh-CN"/>
              </w:rPr>
            </w:pPr>
          </w:p>
        </w:tc>
        <w:tc>
          <w:tcPr>
            <w:tcW w:w="1466" w:type="dxa"/>
            <w:vMerge w:val="restart"/>
            <w:noWrap w:val="0"/>
            <w:vAlign w:val="top"/>
          </w:tcPr>
          <w:p>
            <w:pPr>
              <w:pStyle w:val="2"/>
              <w:ind w:left="0" w:leftChars="0" w:firstLine="0" w:firstLineChars="0"/>
              <w:jc w:val="both"/>
              <w:rPr>
                <w:rFonts w:hint="eastAsia" w:ascii="宋体" w:hAnsi="宋体" w:eastAsia="宋体" w:cs="宋体"/>
                <w:b w:val="0"/>
                <w:bCs w:val="0"/>
                <w:color w:val="auto"/>
                <w:sz w:val="21"/>
                <w:szCs w:val="21"/>
                <w:vertAlign w:val="baseline"/>
                <w:lang w:val="en-US" w:eastAsia="zh-CN"/>
              </w:rPr>
            </w:pPr>
          </w:p>
          <w:p>
            <w:pPr>
              <w:pStyle w:val="2"/>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2"/>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2"/>
              <w:ind w:left="0" w:leftChars="0" w:firstLine="0" w:firstLineChars="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技术和商务部分</w:t>
            </w:r>
          </w:p>
          <w:p>
            <w:pPr>
              <w:pStyle w:val="2"/>
              <w:ind w:left="0" w:leftChars="0" w:firstLine="0" w:firstLineChars="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w:t>
            </w:r>
            <w:r>
              <w:rPr>
                <w:rFonts w:hint="eastAsia" w:ascii="宋体" w:hAnsi="宋体" w:cs="宋体"/>
                <w:b w:val="0"/>
                <w:bCs w:val="0"/>
                <w:color w:val="auto"/>
                <w:sz w:val="21"/>
                <w:szCs w:val="21"/>
                <w:vertAlign w:val="baseline"/>
                <w:lang w:val="en-US" w:eastAsia="zh-CN"/>
              </w:rPr>
              <w:t>60</w:t>
            </w:r>
            <w:r>
              <w:rPr>
                <w:rFonts w:hint="eastAsia" w:ascii="宋体" w:hAnsi="宋体" w:eastAsia="宋体" w:cs="宋体"/>
                <w:b w:val="0"/>
                <w:bCs w:val="0"/>
                <w:color w:val="auto"/>
                <w:sz w:val="21"/>
                <w:szCs w:val="21"/>
                <w:vertAlign w:val="baseline"/>
                <w:lang w:val="en-US" w:eastAsia="zh-CN"/>
              </w:rPr>
              <w:t>分）</w:t>
            </w:r>
          </w:p>
          <w:p>
            <w:pPr>
              <w:pStyle w:val="2"/>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2"/>
              <w:ind w:left="0" w:leftChars="0" w:firstLine="0" w:firstLineChars="0"/>
              <w:jc w:val="center"/>
              <w:rPr>
                <w:rFonts w:hint="eastAsia" w:ascii="宋体" w:hAnsi="宋体" w:eastAsia="宋体" w:cs="宋体"/>
                <w:b w:val="0"/>
                <w:bCs w:val="0"/>
                <w:color w:val="auto"/>
                <w:sz w:val="21"/>
                <w:szCs w:val="21"/>
                <w:vertAlign w:val="baseline"/>
                <w:lang w:val="en-US" w:eastAsia="zh-CN"/>
              </w:rPr>
            </w:pPr>
          </w:p>
        </w:tc>
        <w:tc>
          <w:tcPr>
            <w:tcW w:w="1545" w:type="dxa"/>
            <w:noWrap w:val="0"/>
            <w:vAlign w:val="center"/>
          </w:tcPr>
          <w:p>
            <w:pPr>
              <w:ind w:left="0" w:leftChars="0" w:firstLine="0" w:firstLineChars="0"/>
              <w:jc w:val="center"/>
              <w:rPr>
                <w:rFonts w:hint="eastAsia" w:ascii="宋体" w:hAnsi="宋体" w:eastAsia="宋体" w:cs="宋体"/>
                <w:b w:val="0"/>
                <w:bCs w:val="0"/>
                <w:color w:val="auto"/>
                <w:sz w:val="21"/>
                <w:szCs w:val="21"/>
                <w:highlight w:val="yellow"/>
              </w:rPr>
            </w:pPr>
          </w:p>
          <w:p>
            <w:pPr>
              <w:spacing w:line="360" w:lineRule="auto"/>
              <w:ind w:left="0" w:leftChars="0" w:firstLine="0" w:firstLineChars="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设备参数和响应程度</w:t>
            </w:r>
          </w:p>
          <w:p>
            <w:pPr>
              <w:spacing w:line="360" w:lineRule="auto"/>
              <w:ind w:left="0" w:leftChars="0" w:firstLine="0" w:firstLineChars="0"/>
              <w:jc w:val="center"/>
              <w:rPr>
                <w:rFonts w:hint="eastAsia" w:ascii="宋体" w:hAnsi="宋体" w:eastAsia="宋体" w:cs="宋体"/>
                <w:b w:val="0"/>
                <w:bCs w:val="0"/>
                <w:color w:val="auto"/>
                <w:sz w:val="21"/>
                <w:szCs w:val="21"/>
                <w:highlight w:val="yellow"/>
                <w:lang w:val="en-US" w:eastAsia="zh-CN"/>
              </w:rPr>
            </w:pP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42</w:t>
            </w:r>
            <w:r>
              <w:rPr>
                <w:rFonts w:hint="eastAsia" w:ascii="宋体" w:hAnsi="宋体" w:eastAsia="宋体" w:cs="宋体"/>
                <w:b w:val="0"/>
                <w:bCs w:val="0"/>
                <w:color w:val="auto"/>
                <w:sz w:val="21"/>
                <w:szCs w:val="21"/>
                <w:highlight w:val="none"/>
              </w:rPr>
              <w:t>分）</w:t>
            </w:r>
          </w:p>
        </w:tc>
        <w:tc>
          <w:tcPr>
            <w:tcW w:w="5713" w:type="dxa"/>
            <w:noWrap w:val="0"/>
            <w:vAlign w:val="center"/>
          </w:tcPr>
          <w:p>
            <w:pPr>
              <w:pStyle w:val="2"/>
              <w:ind w:left="0" w:leftChars="0" w:firstLine="0" w:firstLineChars="0"/>
              <w:jc w:val="left"/>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重要技术参数评审（满分</w:t>
            </w:r>
            <w:r>
              <w:rPr>
                <w:rFonts w:hint="eastAsia" w:ascii="宋体" w:hAnsi="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rPr>
              <w:t>分）：附件1中“技术参数”要求部分，标注 “★” 的参数属于重要技术参数。针对供应商所投产品，每满足一项标注 “★” 号的参数，即得</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分。本项目中重要技术参数共计</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项，该部分满分</w:t>
            </w:r>
            <w:r>
              <w:rPr>
                <w:rFonts w:hint="eastAsia" w:ascii="宋体" w:hAnsi="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rPr>
              <w:t>分。</w:t>
            </w:r>
          </w:p>
          <w:p>
            <w:pPr>
              <w:pStyle w:val="2"/>
              <w:ind w:left="0" w:leftChars="0" w:firstLine="0" w:firstLineChars="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2.一般技术参数评审（满分</w:t>
            </w:r>
            <w:r>
              <w:rPr>
                <w:rFonts w:hint="eastAsia" w:ascii="宋体" w:hAnsi="宋体" w:cs="宋体"/>
                <w:b w:val="0"/>
                <w:bCs w:val="0"/>
                <w:color w:val="auto"/>
                <w:sz w:val="21"/>
                <w:szCs w:val="21"/>
                <w:highlight w:val="none"/>
                <w:lang w:val="en-US" w:eastAsia="zh-CN"/>
              </w:rPr>
              <w:t>30</w:t>
            </w:r>
            <w:r>
              <w:rPr>
                <w:rFonts w:hint="eastAsia" w:ascii="宋体" w:hAnsi="宋体" w:eastAsia="宋体" w:cs="宋体"/>
                <w:b w:val="0"/>
                <w:bCs w:val="0"/>
                <w:color w:val="auto"/>
                <w:sz w:val="21"/>
                <w:szCs w:val="21"/>
                <w:highlight w:val="none"/>
              </w:rPr>
              <w:t>分）：附件1中“技术参数”要求部分，未标注 “★” 的参数属于一般技术参数。针对供应商所投产品，每满足一项未标注 “★” 号的参数，即得</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分。本项目中一般技术参数共计</w:t>
            </w:r>
            <w:r>
              <w:rPr>
                <w:rFonts w:hint="eastAsia" w:ascii="宋体" w:hAnsi="宋体" w:cs="宋体"/>
                <w:b w:val="0"/>
                <w:bCs w:val="0"/>
                <w:color w:val="auto"/>
                <w:sz w:val="21"/>
                <w:szCs w:val="21"/>
                <w:highlight w:val="none"/>
                <w:lang w:val="en-US" w:eastAsia="zh-CN"/>
              </w:rPr>
              <w:t>30</w:t>
            </w:r>
            <w:r>
              <w:rPr>
                <w:rFonts w:hint="eastAsia" w:ascii="宋体" w:hAnsi="宋体" w:eastAsia="宋体" w:cs="宋体"/>
                <w:b w:val="0"/>
                <w:bCs w:val="0"/>
                <w:color w:val="auto"/>
                <w:sz w:val="21"/>
                <w:szCs w:val="21"/>
                <w:highlight w:val="none"/>
              </w:rPr>
              <w:t>项，该部分满分</w:t>
            </w:r>
            <w:r>
              <w:rPr>
                <w:rFonts w:hint="eastAsia" w:ascii="宋体" w:hAnsi="宋体" w:cs="宋体"/>
                <w:b w:val="0"/>
                <w:bCs w:val="0"/>
                <w:color w:val="auto"/>
                <w:sz w:val="21"/>
                <w:szCs w:val="21"/>
                <w:highlight w:val="none"/>
                <w:lang w:val="en-US" w:eastAsia="zh-CN"/>
              </w:rPr>
              <w:t>30</w:t>
            </w:r>
            <w:r>
              <w:rPr>
                <w:rFonts w:hint="eastAsia" w:ascii="宋体" w:hAnsi="宋体" w:eastAsia="宋体" w:cs="宋体"/>
                <w:b w:val="0"/>
                <w:bCs w:val="0"/>
                <w:color w:val="auto"/>
                <w:sz w:val="21"/>
                <w:szCs w:val="21"/>
                <w:highlight w:val="none"/>
              </w:rPr>
              <w:t>分。</w:t>
            </w:r>
          </w:p>
          <w:p>
            <w:pPr>
              <w:pStyle w:val="2"/>
              <w:ind w:left="0" w:leftChars="0" w:firstLine="0" w:firstLineChars="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注：1.供应商应如实填写“技术参数表”；</w:t>
            </w:r>
          </w:p>
          <w:p>
            <w:pPr>
              <w:pStyle w:val="2"/>
              <w:ind w:left="0" w:leftChars="0" w:firstLine="0" w:firstLineChars="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2.所投设备参数不一致时，不得采用直接复制采购文件技术参数的方式填写。</w:t>
            </w:r>
          </w:p>
          <w:p>
            <w:pPr>
              <w:pStyle w:val="2"/>
              <w:ind w:left="0" w:leftChars="0" w:firstLine="0" w:firstLineChars="0"/>
              <w:jc w:val="left"/>
              <w:rPr>
                <w:rFonts w:hint="eastAsia" w:ascii="宋体" w:hAnsi="宋体" w:eastAsia="宋体" w:cs="宋体"/>
                <w:b w:val="0"/>
                <w:bCs w:val="0"/>
                <w:color w:val="auto"/>
                <w:sz w:val="21"/>
                <w:szCs w:val="21"/>
                <w:highlight w:val="yellow"/>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6" w:hRule="atLeast"/>
        </w:trPr>
        <w:tc>
          <w:tcPr>
            <w:tcW w:w="876" w:type="dxa"/>
            <w:vMerge w:val="continue"/>
            <w:noWrap w:val="0"/>
            <w:vAlign w:val="top"/>
          </w:tcPr>
          <w:p>
            <w:pPr>
              <w:pStyle w:val="2"/>
              <w:ind w:left="0" w:leftChars="0" w:firstLine="0" w:firstLineChars="0"/>
              <w:jc w:val="left"/>
              <w:rPr>
                <w:rFonts w:hint="eastAsia" w:ascii="宋体" w:hAnsi="宋体" w:eastAsia="宋体" w:cs="宋体"/>
                <w:color w:val="auto"/>
              </w:rPr>
            </w:pPr>
          </w:p>
        </w:tc>
        <w:tc>
          <w:tcPr>
            <w:tcW w:w="1466" w:type="dxa"/>
            <w:vMerge w:val="continue"/>
            <w:noWrap w:val="0"/>
            <w:vAlign w:val="top"/>
          </w:tcPr>
          <w:p>
            <w:pPr>
              <w:pStyle w:val="2"/>
              <w:ind w:left="0" w:leftChars="0" w:firstLine="0" w:firstLineChars="0"/>
              <w:jc w:val="left"/>
              <w:rPr>
                <w:rFonts w:hint="eastAsia" w:ascii="宋体" w:hAnsi="宋体" w:eastAsia="宋体" w:cs="宋体"/>
                <w:b w:val="0"/>
                <w:bCs w:val="0"/>
                <w:color w:val="auto"/>
                <w:sz w:val="21"/>
                <w:szCs w:val="21"/>
              </w:rPr>
            </w:pPr>
          </w:p>
        </w:tc>
        <w:tc>
          <w:tcPr>
            <w:tcW w:w="1545" w:type="dxa"/>
            <w:noWrap w:val="0"/>
            <w:vAlign w:val="center"/>
          </w:tcPr>
          <w:p>
            <w:pPr>
              <w:pStyle w:val="2"/>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类似业绩</w:t>
            </w:r>
          </w:p>
          <w:p>
            <w:pPr>
              <w:pStyle w:val="2"/>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分）</w:t>
            </w:r>
          </w:p>
        </w:tc>
        <w:tc>
          <w:tcPr>
            <w:tcW w:w="5713" w:type="dxa"/>
            <w:noWrap w:val="0"/>
            <w:vAlign w:val="center"/>
          </w:tcPr>
          <w:p>
            <w:pPr>
              <w:spacing w:line="380" w:lineRule="exact"/>
              <w:ind w:left="0" w:leftChars="0" w:firstLine="0" w:firstLineChars="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提供</w:t>
            </w:r>
            <w:r>
              <w:rPr>
                <w:rFonts w:hint="eastAsia" w:ascii="宋体" w:hAnsi="宋体" w:eastAsia="宋体" w:cs="宋体"/>
                <w:b w:val="0"/>
                <w:bCs w:val="0"/>
                <w:color w:val="auto"/>
                <w:sz w:val="21"/>
                <w:szCs w:val="21"/>
                <w:lang w:val="en-US" w:eastAsia="zh-CN"/>
              </w:rPr>
              <w:t>近三年</w:t>
            </w:r>
            <w:r>
              <w:rPr>
                <w:rFonts w:hint="eastAsia" w:ascii="宋体" w:hAnsi="宋体" w:eastAsia="宋体" w:cs="宋体"/>
                <w:b w:val="0"/>
                <w:bCs w:val="0"/>
                <w:color w:val="auto"/>
                <w:sz w:val="21"/>
                <w:szCs w:val="21"/>
              </w:rPr>
              <w:t>类似项目业绩证明材料，每提供1</w:t>
            </w:r>
            <w:r>
              <w:rPr>
                <w:rFonts w:hint="eastAsia" w:ascii="宋体" w:hAnsi="宋体" w:eastAsia="宋体" w:cs="宋体"/>
                <w:b w:val="0"/>
                <w:bCs w:val="0"/>
                <w:color w:val="auto"/>
                <w:sz w:val="21"/>
                <w:szCs w:val="21"/>
                <w:lang w:val="en-US" w:eastAsia="zh-CN"/>
              </w:rPr>
              <w:t>项</w:t>
            </w:r>
            <w:r>
              <w:rPr>
                <w:rFonts w:hint="eastAsia" w:ascii="宋体" w:hAnsi="宋体" w:eastAsia="宋体" w:cs="宋体"/>
                <w:b w:val="0"/>
                <w:bCs w:val="0"/>
                <w:color w:val="auto"/>
                <w:sz w:val="21"/>
                <w:szCs w:val="21"/>
              </w:rPr>
              <w:t>得</w:t>
            </w: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分，最高得</w:t>
            </w: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分。</w:t>
            </w:r>
          </w:p>
          <w:p>
            <w:pPr>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评分依据：提供合同关键页及项目的最终用户(医院)的验收单复印件作为证明材料。</w:t>
            </w:r>
            <w:r>
              <w:rPr>
                <w:rFonts w:hint="eastAsia" w:ascii="宋体" w:hAnsi="宋体" w:eastAsia="宋体" w:cs="宋体"/>
                <w:b w:val="0"/>
                <w:bCs w:val="0"/>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1" w:hRule="atLeast"/>
        </w:trPr>
        <w:tc>
          <w:tcPr>
            <w:tcW w:w="876" w:type="dxa"/>
            <w:vMerge w:val="continue"/>
            <w:noWrap w:val="0"/>
            <w:vAlign w:val="top"/>
          </w:tcPr>
          <w:p>
            <w:pPr>
              <w:pStyle w:val="2"/>
              <w:ind w:left="0" w:leftChars="0" w:firstLine="0" w:firstLineChars="0"/>
              <w:jc w:val="left"/>
              <w:rPr>
                <w:rFonts w:hint="eastAsia" w:ascii="宋体" w:hAnsi="宋体" w:eastAsia="宋体" w:cs="宋体"/>
                <w:color w:val="auto"/>
                <w:sz w:val="21"/>
                <w:szCs w:val="21"/>
                <w:lang w:val="en-US" w:eastAsia="zh-CN"/>
              </w:rPr>
            </w:pPr>
          </w:p>
        </w:tc>
        <w:tc>
          <w:tcPr>
            <w:tcW w:w="1466" w:type="dxa"/>
            <w:vMerge w:val="continue"/>
            <w:noWrap w:val="0"/>
            <w:vAlign w:val="top"/>
          </w:tcPr>
          <w:p>
            <w:pPr>
              <w:pStyle w:val="2"/>
              <w:ind w:left="0" w:leftChars="0" w:firstLine="0" w:firstLineChars="0"/>
              <w:jc w:val="left"/>
              <w:rPr>
                <w:rFonts w:hint="eastAsia" w:ascii="宋体" w:hAnsi="宋体" w:eastAsia="宋体" w:cs="宋体"/>
                <w:b w:val="0"/>
                <w:bCs w:val="0"/>
                <w:color w:val="auto"/>
                <w:sz w:val="21"/>
                <w:szCs w:val="21"/>
                <w:lang w:val="en-US" w:eastAsia="zh-CN"/>
              </w:rPr>
            </w:pPr>
          </w:p>
        </w:tc>
        <w:tc>
          <w:tcPr>
            <w:tcW w:w="1545" w:type="dxa"/>
            <w:noWrap w:val="0"/>
            <w:vAlign w:val="center"/>
          </w:tcPr>
          <w:p>
            <w:pPr>
              <w:spacing w:line="360" w:lineRule="auto"/>
              <w:ind w:left="0" w:leftChars="0" w:firstLine="0" w:firstLineChars="0"/>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质量保质期</w:t>
            </w:r>
          </w:p>
          <w:p>
            <w:pPr>
              <w:spacing w:line="360" w:lineRule="auto"/>
              <w:ind w:left="0" w:leftChars="0" w:firstLine="0" w:firstLineChars="0"/>
              <w:jc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rPr>
              <w:t>（</w:t>
            </w:r>
            <w:r>
              <w:rPr>
                <w:rFonts w:hint="eastAsia" w:ascii="宋体" w:hAnsi="宋体" w:cs="宋体"/>
                <w:b w:val="0"/>
                <w:bCs w:val="0"/>
                <w:color w:val="auto"/>
                <w:sz w:val="21"/>
                <w:szCs w:val="21"/>
                <w:lang w:val="en-US" w:eastAsia="zh-CN"/>
              </w:rPr>
              <w:t>4</w:t>
            </w:r>
            <w:r>
              <w:rPr>
                <w:rFonts w:hint="eastAsia" w:ascii="宋体" w:hAnsi="宋体" w:eastAsia="宋体" w:cs="宋体"/>
                <w:b w:val="0"/>
                <w:bCs w:val="0"/>
                <w:color w:val="auto"/>
                <w:sz w:val="21"/>
                <w:szCs w:val="21"/>
              </w:rPr>
              <w:t>分）</w:t>
            </w:r>
          </w:p>
          <w:p>
            <w:pPr>
              <w:pStyle w:val="2"/>
              <w:ind w:left="0" w:leftChars="0" w:firstLine="0" w:firstLineChars="0"/>
              <w:jc w:val="center"/>
              <w:rPr>
                <w:rFonts w:hint="eastAsia" w:ascii="宋体" w:hAnsi="宋体" w:eastAsia="宋体" w:cs="宋体"/>
                <w:b w:val="0"/>
                <w:bCs w:val="0"/>
                <w:color w:val="auto"/>
                <w:sz w:val="21"/>
                <w:szCs w:val="21"/>
                <w:lang w:val="en-US" w:eastAsia="zh-CN"/>
              </w:rPr>
            </w:pPr>
          </w:p>
        </w:tc>
        <w:tc>
          <w:tcPr>
            <w:tcW w:w="5713" w:type="dxa"/>
            <w:noWrap w:val="0"/>
            <w:vAlign w:val="center"/>
          </w:tcPr>
          <w:p>
            <w:pPr>
              <w:pStyle w:val="2"/>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质保期满足</w:t>
            </w:r>
            <w:r>
              <w:rPr>
                <w:rFonts w:hint="eastAsia" w:ascii="宋体" w:hAnsi="宋体" w:cs="宋体"/>
                <w:b w:val="0"/>
                <w:bCs w:val="0"/>
                <w:color w:val="auto"/>
                <w:sz w:val="21"/>
                <w:szCs w:val="21"/>
                <w:lang w:val="en-US" w:eastAsia="zh-CN"/>
              </w:rPr>
              <w:t>院内议价</w:t>
            </w:r>
            <w:r>
              <w:rPr>
                <w:rFonts w:hint="eastAsia" w:ascii="宋体" w:hAnsi="宋体" w:eastAsia="宋体" w:cs="宋体"/>
                <w:b w:val="0"/>
                <w:bCs w:val="0"/>
                <w:color w:val="auto"/>
                <w:sz w:val="21"/>
                <w:szCs w:val="21"/>
                <w:lang w:val="en-US" w:eastAsia="zh-CN"/>
              </w:rPr>
              <w:t>文件（3年）的</w:t>
            </w:r>
            <w:r>
              <w:rPr>
                <w:rFonts w:hint="eastAsia" w:ascii="宋体" w:hAnsi="宋体" w:cs="宋体"/>
                <w:b w:val="0"/>
                <w:bCs w:val="0"/>
                <w:color w:val="auto"/>
                <w:sz w:val="21"/>
                <w:szCs w:val="21"/>
                <w:lang w:val="en-US" w:eastAsia="zh-CN"/>
              </w:rPr>
              <w:t>基础上</w:t>
            </w:r>
            <w:r>
              <w:rPr>
                <w:rFonts w:hint="eastAsia" w:ascii="宋体" w:hAnsi="宋体" w:eastAsia="宋体" w:cs="宋体"/>
                <w:b w:val="0"/>
                <w:bCs w:val="0"/>
                <w:color w:val="auto"/>
                <w:sz w:val="21"/>
                <w:szCs w:val="21"/>
                <w:lang w:val="en-US" w:eastAsia="zh-CN"/>
              </w:rPr>
              <w:t>，增加一年加</w:t>
            </w:r>
            <w:r>
              <w:rPr>
                <w:rFonts w:hint="eastAsia" w:ascii="宋体" w:hAnsi="宋体" w:cs="宋体"/>
                <w:b w:val="0"/>
                <w:bCs w:val="0"/>
                <w:color w:val="auto"/>
                <w:sz w:val="21"/>
                <w:szCs w:val="21"/>
                <w:lang w:val="en-US" w:eastAsia="zh-CN"/>
              </w:rPr>
              <w:t>2</w:t>
            </w:r>
            <w:r>
              <w:rPr>
                <w:rFonts w:hint="eastAsia" w:ascii="宋体" w:hAnsi="宋体" w:eastAsia="宋体" w:cs="宋体"/>
                <w:b w:val="0"/>
                <w:bCs w:val="0"/>
                <w:color w:val="auto"/>
                <w:sz w:val="21"/>
                <w:szCs w:val="21"/>
                <w:lang w:val="en-US" w:eastAsia="zh-CN"/>
              </w:rPr>
              <w:t>分，满分</w:t>
            </w:r>
            <w:r>
              <w:rPr>
                <w:rFonts w:hint="eastAsia" w:ascii="宋体" w:hAnsi="宋体" w:cs="宋体"/>
                <w:b w:val="0"/>
                <w:bCs w:val="0"/>
                <w:color w:val="auto"/>
                <w:sz w:val="21"/>
                <w:szCs w:val="21"/>
                <w:lang w:val="en-US" w:eastAsia="zh-CN"/>
              </w:rPr>
              <w:t>4</w:t>
            </w:r>
            <w:r>
              <w:rPr>
                <w:rFonts w:hint="eastAsia" w:ascii="宋体" w:hAnsi="宋体" w:eastAsia="宋体" w:cs="宋体"/>
                <w:b w:val="0"/>
                <w:bCs w:val="0"/>
                <w:color w:val="auto"/>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6" w:hRule="atLeast"/>
        </w:trPr>
        <w:tc>
          <w:tcPr>
            <w:tcW w:w="876" w:type="dxa"/>
            <w:vMerge w:val="continue"/>
            <w:noWrap w:val="0"/>
            <w:vAlign w:val="top"/>
          </w:tcPr>
          <w:p>
            <w:pPr>
              <w:pStyle w:val="2"/>
              <w:ind w:left="0" w:leftChars="0" w:firstLine="0" w:firstLineChars="0"/>
              <w:jc w:val="left"/>
              <w:rPr>
                <w:rFonts w:hint="eastAsia" w:ascii="宋体" w:hAnsi="宋体" w:eastAsia="宋体" w:cs="宋体"/>
                <w:color w:val="auto"/>
                <w:sz w:val="21"/>
                <w:szCs w:val="21"/>
                <w:lang w:val="en-US" w:eastAsia="zh-CN"/>
              </w:rPr>
            </w:pPr>
          </w:p>
        </w:tc>
        <w:tc>
          <w:tcPr>
            <w:tcW w:w="1466" w:type="dxa"/>
            <w:vMerge w:val="continue"/>
            <w:noWrap w:val="0"/>
            <w:vAlign w:val="top"/>
          </w:tcPr>
          <w:p>
            <w:pPr>
              <w:pStyle w:val="2"/>
              <w:ind w:left="0" w:leftChars="0" w:firstLine="0" w:firstLineChars="0"/>
              <w:jc w:val="left"/>
              <w:rPr>
                <w:rFonts w:hint="eastAsia" w:ascii="宋体" w:hAnsi="宋体" w:eastAsia="宋体" w:cs="宋体"/>
                <w:b w:val="0"/>
                <w:bCs w:val="0"/>
                <w:color w:val="auto"/>
                <w:sz w:val="21"/>
                <w:szCs w:val="21"/>
                <w:lang w:val="en-US" w:eastAsia="zh-CN"/>
              </w:rPr>
            </w:pPr>
          </w:p>
        </w:tc>
        <w:tc>
          <w:tcPr>
            <w:tcW w:w="1545" w:type="dxa"/>
            <w:noWrap w:val="0"/>
            <w:vAlign w:val="center"/>
          </w:tcPr>
          <w:p>
            <w:pPr>
              <w:pStyle w:val="2"/>
              <w:ind w:left="0" w:leftChars="0" w:firstLine="0" w:firstLineChars="0"/>
              <w:jc w:val="center"/>
              <w:rPr>
                <w:rFonts w:hint="eastAsia" w:ascii="宋体" w:hAnsi="宋体" w:eastAsia="宋体" w:cs="宋体"/>
                <w:b w:val="0"/>
                <w:bCs w:val="0"/>
                <w:color w:val="auto"/>
                <w:sz w:val="21"/>
                <w:szCs w:val="21"/>
              </w:rPr>
            </w:pPr>
          </w:p>
          <w:p>
            <w:pPr>
              <w:pStyle w:val="2"/>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售后</w:t>
            </w:r>
            <w:r>
              <w:rPr>
                <w:rFonts w:hint="eastAsia" w:ascii="宋体" w:hAnsi="宋体" w:eastAsia="宋体" w:cs="宋体"/>
                <w:b w:val="0"/>
                <w:bCs w:val="0"/>
                <w:color w:val="auto"/>
                <w:sz w:val="21"/>
                <w:szCs w:val="21"/>
                <w:lang w:val="en-US" w:eastAsia="zh-CN"/>
              </w:rPr>
              <w:t>服务内容及响应时间</w:t>
            </w:r>
            <w:r>
              <w:rPr>
                <w:rFonts w:hint="eastAsia" w:ascii="宋体" w:hAnsi="宋体" w:eastAsia="宋体" w:cs="宋体"/>
                <w:b w:val="0"/>
                <w:bCs w:val="0"/>
                <w:color w:val="auto"/>
                <w:sz w:val="21"/>
                <w:szCs w:val="21"/>
              </w:rPr>
              <w:t>（</w:t>
            </w:r>
            <w:r>
              <w:rPr>
                <w:rFonts w:hint="eastAsia" w:ascii="宋体" w:hAnsi="宋体" w:cs="宋体"/>
                <w:b w:val="0"/>
                <w:bCs w:val="0"/>
                <w:color w:val="auto"/>
                <w:sz w:val="21"/>
                <w:szCs w:val="21"/>
                <w:lang w:val="en-US" w:eastAsia="zh-CN"/>
              </w:rPr>
              <w:t>10</w:t>
            </w:r>
            <w:r>
              <w:rPr>
                <w:rFonts w:hint="eastAsia" w:ascii="宋体" w:hAnsi="宋体" w:eastAsia="宋体" w:cs="宋体"/>
                <w:b w:val="0"/>
                <w:bCs w:val="0"/>
                <w:color w:val="auto"/>
                <w:sz w:val="21"/>
                <w:szCs w:val="21"/>
              </w:rPr>
              <w:t>分）</w:t>
            </w:r>
          </w:p>
          <w:p>
            <w:pPr>
              <w:pStyle w:val="2"/>
              <w:ind w:left="0" w:leftChars="0" w:firstLine="0" w:firstLineChars="0"/>
              <w:jc w:val="center"/>
              <w:rPr>
                <w:rFonts w:hint="eastAsia" w:ascii="宋体" w:hAnsi="宋体" w:eastAsia="宋体" w:cs="宋体"/>
                <w:b w:val="0"/>
                <w:bCs w:val="0"/>
                <w:color w:val="auto"/>
                <w:sz w:val="21"/>
                <w:szCs w:val="21"/>
                <w:lang w:val="en-US" w:eastAsia="zh-CN"/>
              </w:rPr>
            </w:pPr>
          </w:p>
        </w:tc>
        <w:tc>
          <w:tcPr>
            <w:tcW w:w="5713" w:type="dxa"/>
            <w:noWrap w:val="0"/>
            <w:vAlign w:val="center"/>
          </w:tcPr>
          <w:p>
            <w:pPr>
              <w:pStyle w:val="2"/>
              <w:ind w:left="0" w:leftChars="0" w:firstLine="0" w:firstLineChars="0"/>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1.售后服务方案完善，响应时间承诺短（24 小时内响应并解决问题）。具备高效的服务响应机制，可迅速调配专业维修人员及时抵达现场，快速解决设备故障。质保期内免费维修更换非人为损坏零部件，提供定期回访服务，主动了解设备使用情况并及时进行维护保养指导，得满分10分。</w:t>
            </w:r>
          </w:p>
          <w:p>
            <w:pPr>
              <w:pStyle w:val="2"/>
              <w:ind w:left="0" w:leftChars="0" w:firstLine="0" w:firstLineChars="0"/>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2.售后服务方案较合理，响应时间承诺较为及时。维修人员具备一定专业能力，能在合理时间内处理设备故障，得6分。</w:t>
            </w:r>
          </w:p>
          <w:p>
            <w:pPr>
              <w:pStyle w:val="2"/>
              <w:ind w:left="0" w:leftChars="0" w:firstLine="0" w:firstLineChars="0"/>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3.售后服务方案不完善，响应时间承诺长，难以快速调配维修人员且维修人员专业水平有限，处理设备故障的效率低，得2分。</w:t>
            </w:r>
          </w:p>
          <w:p>
            <w:pPr>
              <w:pStyle w:val="2"/>
              <w:ind w:left="0" w:leftChars="0" w:firstLine="0" w:firstLineChars="0"/>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4.未提供售后服务方案得0分。</w:t>
            </w:r>
          </w:p>
          <w:p>
            <w:pPr>
              <w:pStyle w:val="2"/>
              <w:ind w:left="0" w:leftChars="0" w:firstLine="0" w:firstLineChars="0"/>
              <w:rPr>
                <w:rFonts w:hint="eastAsia" w:ascii="宋体" w:hAnsi="宋体" w:eastAsia="宋体" w:cs="宋体"/>
                <w:b w:val="0"/>
                <w:bCs w:val="0"/>
                <w:color w:val="auto"/>
                <w:sz w:val="21"/>
                <w:szCs w:val="21"/>
                <w:lang w:val="en-US" w:eastAsia="zh-CN"/>
              </w:rPr>
            </w:pPr>
          </w:p>
        </w:tc>
      </w:tr>
    </w:tbl>
    <w:p>
      <w:pPr>
        <w:pStyle w:val="3"/>
        <w:rPr>
          <w:rFonts w:hint="eastAsia"/>
          <w:lang w:val="en-US" w:eastAsia="zh-CN"/>
        </w:rPr>
      </w:pP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bCs/>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417" w:right="1474" w:bottom="1417" w:left="1474" w:header="851" w:footer="992" w:gutter="0"/>
          <w:lnNumType w:countBy="0" w:restart="continuous"/>
          <w:cols w:space="425" w:num="1"/>
          <w:docGrid w:type="lines" w:linePitch="312" w:charSpace="0"/>
        </w:sectPr>
      </w:pPr>
    </w:p>
    <w:p>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w:t>
      </w:r>
      <w:bookmarkStart w:id="14" w:name="_GoBack"/>
      <w:bookmarkEnd w:id="14"/>
      <w:r>
        <w:rPr>
          <w:rFonts w:hint="eastAsia" w:ascii="黑体" w:hAnsi="黑体" w:eastAsia="黑体" w:cs="黑体"/>
          <w:b/>
          <w:bCs/>
          <w:color w:val="auto"/>
          <w:sz w:val="32"/>
          <w:szCs w:val="32"/>
          <w:lang w:val="en-US" w:eastAsia="zh-CN"/>
        </w:rPr>
        <w:t>：   响应文件格式</w:t>
      </w: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val="en-US" w:eastAsia="zh-CN"/>
        </w:rPr>
        <w:t>项目名称</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9"/>
        <w:tblW w:w="146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1"/>
        <w:gridCol w:w="434"/>
        <w:gridCol w:w="901"/>
        <w:gridCol w:w="1232"/>
        <w:gridCol w:w="796"/>
        <w:gridCol w:w="333"/>
        <w:gridCol w:w="331"/>
        <w:gridCol w:w="1043"/>
        <w:gridCol w:w="174"/>
        <w:gridCol w:w="1371"/>
        <w:gridCol w:w="1662"/>
        <w:gridCol w:w="1398"/>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3" w:hRule="atLeast"/>
        </w:trPr>
        <w:tc>
          <w:tcPr>
            <w:tcW w:w="2711"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503"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54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3060"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2295"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 w:hRule="atLeas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503"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54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3060"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2295"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 w:hRule="atLeas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503"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54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3060"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2295"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both"/>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9" w:hRule="exac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043"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545" w:type="dxa"/>
            <w:gridSpan w:val="2"/>
          </w:tcPr>
          <w:p>
            <w:pPr>
              <w:rPr>
                <w:rFonts w:hint="eastAsia" w:asciiTheme="minorEastAsia" w:hAnsiTheme="minorEastAsia" w:eastAsiaTheme="minorEastAsia" w:cstheme="minorEastAsia"/>
                <w:b/>
                <w:sz w:val="22"/>
                <w:szCs w:val="22"/>
              </w:rPr>
            </w:pPr>
          </w:p>
        </w:tc>
        <w:tc>
          <w:tcPr>
            <w:tcW w:w="3060"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2295"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2711"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335"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2919"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662"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693"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244"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726"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6" w:hRule="atLeast"/>
        </w:trPr>
        <w:tc>
          <w:tcPr>
            <w:tcW w:w="14681" w:type="dxa"/>
            <w:gridSpan w:val="13"/>
            <w:shd w:val="clear" w:color="auto" w:fill="FFFFFF" w:themeFill="background1"/>
          </w:tcPr>
          <w:p>
            <w:pP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服务承诺：        原厂质保:       供货期：接医院通知后</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日历天       维修响应时间：      维修到场时间：</w:t>
            </w:r>
          </w:p>
          <w:p>
            <w:pP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8"/>
                <w:szCs w:val="28"/>
              </w:rPr>
              <mc:AlternateContent>
                <mc:Choice Requires="wps">
                  <w:drawing>
                    <wp:anchor distT="0" distB="0" distL="114300" distR="114300" simplePos="0" relativeHeight="251662336" behindDoc="0" locked="0" layoutInCell="1" allowOverlap="1">
                      <wp:simplePos x="0" y="0"/>
                      <wp:positionH relativeFrom="column">
                        <wp:posOffset>2233295</wp:posOffset>
                      </wp:positionH>
                      <wp:positionV relativeFrom="paragraph">
                        <wp:posOffset>123825</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75.85pt;margin-top:9.75pt;height:14.6pt;width:15.65pt;z-index:251662336;mso-width-relative:page;mso-height-relative:page;" fillcolor="#FFFFFF" filled="t" stroked="t" coordsize="21600,21600" arcsize="0.166666666666667" o:gfxdata="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QtjDjVAAAA&#10;CQEAAA8AAAAAAAAAAQAgAAAAIgAAAGRycy9kb3ducmV2LnhtbFBLAQIUABQAAAAIAIdO4kBrjgFl&#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8"/>
                <w:szCs w:val="28"/>
              </w:rPr>
              <mc:AlternateContent>
                <mc:Choice Requires="wps">
                  <w:drawing>
                    <wp:anchor distT="0" distB="0" distL="114300" distR="114300" simplePos="0" relativeHeight="251663360" behindDoc="0" locked="0" layoutInCell="1" allowOverlap="1">
                      <wp:simplePos x="0" y="0"/>
                      <wp:positionH relativeFrom="column">
                        <wp:posOffset>2711450</wp:posOffset>
                      </wp:positionH>
                      <wp:positionV relativeFrom="paragraph">
                        <wp:posOffset>97790</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213.5pt;margin-top:7.7pt;height:14.6pt;width:15.65pt;z-index:251663360;mso-width-relative:page;mso-height-relative:page;" fillcolor="#FFFFFF" filled="t" stroked="t" coordsize="21600,21600" arcsize="0.166666666666667" o:gfxdata="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mDPJA1gAA&#10;AAkBAAAPAAAAAAAAAAEAIAAAACIAAABkcnMvZG93bnJldi54bWxQSwECFAAUAAAACACHTuJA44W8&#10;bi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8"/>
                <w:szCs w:val="28"/>
              </w:rPr>
              <w:t>维修时是否提供备用机：是    否    ，</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 xml:space="preserve">日内提供  </w:t>
            </w:r>
            <w:r>
              <w:rPr>
                <w:rFonts w:hint="eastAsia" w:asciiTheme="minorEastAsia" w:hAnsiTheme="minorEastAsia" w:eastAsiaTheme="minorEastAsia" w:cstheme="minorEastAsia"/>
                <w:b/>
                <w:sz w:val="28"/>
                <w:szCs w:val="28"/>
                <w:lang w:eastAsia="zh-CN"/>
              </w:rPr>
              <w:t>。</w:t>
            </w:r>
            <w:r>
              <w:rPr>
                <w:rFonts w:hint="eastAsia" w:asciiTheme="minorEastAsia" w:hAnsiTheme="minorEastAsia" w:eastAsiaTheme="minorEastAsia" w:cstheme="minorEastAsia"/>
                <w:b/>
                <w:sz w:val="28"/>
                <w:szCs w:val="28"/>
              </w:rPr>
              <w:t xml:space="preserve">  有</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名常驻</w:t>
            </w:r>
            <w:r>
              <w:rPr>
                <w:rFonts w:hint="eastAsia" w:asciiTheme="minorEastAsia" w:hAnsiTheme="minorEastAsia" w:eastAsiaTheme="minorEastAsia" w:cstheme="minorEastAsia"/>
                <w:b/>
                <w:sz w:val="28"/>
                <w:szCs w:val="28"/>
                <w:lang w:val="en-US" w:eastAsia="zh-CN"/>
              </w:rPr>
              <w:t>腾冲</w:t>
            </w:r>
            <w:r>
              <w:rPr>
                <w:rFonts w:hint="eastAsia" w:asciiTheme="minorEastAsia" w:hAnsiTheme="minorEastAsia" w:eastAsiaTheme="minorEastAsia" w:cstheme="minorEastAsia"/>
                <w:b/>
                <w:sz w:val="28"/>
                <w:szCs w:val="28"/>
              </w:rPr>
              <w:t>工程师，其中厂家工程师</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 xml:space="preserve">名 </w:t>
            </w:r>
            <w:r>
              <w:rPr>
                <w:rFonts w:hint="eastAsia" w:asciiTheme="minorEastAsia" w:hAnsiTheme="minorEastAsia" w:eastAsiaTheme="minorEastAsia" w:cstheme="minorEastAsia"/>
                <w:b/>
                <w:sz w:val="28"/>
                <w:szCs w:val="28"/>
                <w:lang w:eastAsia="zh-CN"/>
              </w:rPr>
              <w:t>。</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8"/>
                <w:szCs w:val="28"/>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2" w:hRule="atLeast"/>
        </w:trPr>
        <w:tc>
          <w:tcPr>
            <w:tcW w:w="3145"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同型号设备国内/省内</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三</w:t>
            </w:r>
            <w:r>
              <w:rPr>
                <w:rFonts w:hint="eastAsia" w:asciiTheme="minorEastAsia" w:hAnsiTheme="minorEastAsia" w:eastAsiaTheme="minorEastAsia" w:cstheme="minorEastAsia"/>
                <w:b/>
                <w:sz w:val="28"/>
                <w:szCs w:val="28"/>
                <w:lang w:val="en-US" w:eastAsia="zh-CN"/>
              </w:rPr>
              <w:t>级</w:t>
            </w:r>
            <w:r>
              <w:rPr>
                <w:rFonts w:hint="eastAsia" w:asciiTheme="minorEastAsia" w:hAnsiTheme="minorEastAsia" w:eastAsiaTheme="minorEastAsia" w:cstheme="minorEastAsia"/>
                <w:b/>
                <w:sz w:val="28"/>
                <w:szCs w:val="28"/>
              </w:rPr>
              <w:t>医院装机情况</w:t>
            </w:r>
          </w:p>
        </w:tc>
        <w:tc>
          <w:tcPr>
            <w:tcW w:w="11536" w:type="dxa"/>
            <w:gridSpan w:val="11"/>
          </w:tcPr>
          <w:p>
            <w:pPr>
              <w:rPr>
                <w:rFonts w:hint="eastAsia" w:asciiTheme="minorEastAsia" w:hAnsiTheme="minorEastAsia" w:eastAsiaTheme="minorEastAsia" w:cstheme="minor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3" w:hRule="atLeast"/>
        </w:trPr>
        <w:tc>
          <w:tcPr>
            <w:tcW w:w="14681" w:type="dxa"/>
            <w:gridSpan w:val="13"/>
          </w:tcPr>
          <w:p>
            <w:pP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第二次服务承诺、质保、维修响应时间及其他情况补充说明：</w:t>
            </w:r>
          </w:p>
          <w:p>
            <w:pP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 xml:space="preserve">                                                                                                         签名/盖章 ：</w:t>
            </w:r>
          </w:p>
        </w:tc>
      </w:tr>
    </w:tbl>
    <w:p>
      <w:pPr>
        <w:ind w:right="420"/>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1"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pStyle w:val="2"/>
        <w:rPr>
          <w:rFonts w:hint="eastAsia"/>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1"/>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pStyle w:val="2"/>
        <w:rPr>
          <w:rFonts w:hint="eastAsia"/>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cs="宋体"/>
          <w:b/>
          <w:bCs/>
          <w:sz w:val="28"/>
          <w:szCs w:val="28"/>
          <w:lang w:val="en-US" w:eastAsia="zh-CN"/>
        </w:rPr>
        <w:t>2.4</w:t>
      </w:r>
      <w:r>
        <w:rPr>
          <w:rFonts w:hint="eastAsia" w:ascii="宋体" w:hAnsi="宋体" w:eastAsia="宋体" w:cs="宋体"/>
          <w:b/>
          <w:bCs/>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5</w:t>
      </w:r>
      <w:r>
        <w:rPr>
          <w:rFonts w:hint="eastAsia" w:ascii="宋体" w:hAnsi="宋体" w:eastAsia="宋体" w:cs="宋体"/>
          <w:b/>
          <w:bCs/>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2.7</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pPr>
        <w:pStyle w:val="3"/>
        <w:rPr>
          <w:rFonts w:hint="eastAsia" w:ascii="仿宋" w:hAnsi="仿宋" w:eastAsia="仿宋" w:cs="仿宋"/>
          <w:sz w:val="28"/>
          <w:szCs w:val="28"/>
          <w:lang w:val="en-US" w:eastAsia="zh-CN"/>
        </w:rPr>
      </w:pP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pPr>
        <w:pStyle w:val="3"/>
        <w:rPr>
          <w:rFonts w:hint="eastAsia" w:ascii="仿宋" w:hAnsi="仿宋" w:eastAsia="仿宋" w:cs="仿宋"/>
          <w:sz w:val="28"/>
          <w:szCs w:val="28"/>
          <w:lang w:val="en-US" w:eastAsia="zh-CN"/>
        </w:rPr>
      </w:pPr>
    </w:p>
    <w:p>
      <w:pPr>
        <w:rPr>
          <w:rFonts w:hint="eastAsia"/>
          <w:lang w:val="en-US" w:eastAsia="zh-CN"/>
        </w:rPr>
      </w:pPr>
    </w:p>
    <w:p>
      <w:pPr>
        <w:bidi w:val="0"/>
        <w:ind w:left="0" w:leftChars="0" w:firstLine="0" w:firstLineChars="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 投标人资质证明材料：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注：①所投产品为医疗器械的，请投标人按招标文件要求提供相关医疗器械的资质证明材料(若所投产品不属于医疗器械的，投标人请自行说明)。</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 技术部分：</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4.1技术</w:t>
      </w:r>
      <w:r>
        <w:rPr>
          <w:rFonts w:hint="eastAsia" w:ascii="宋体" w:hAnsi="宋体" w:cs="宋体"/>
          <w:b/>
          <w:bCs/>
          <w:sz w:val="28"/>
          <w:szCs w:val="28"/>
          <w:lang w:val="en-US" w:eastAsia="zh-CN"/>
        </w:rPr>
        <w:t>参数</w:t>
      </w:r>
      <w:r>
        <w:rPr>
          <w:rFonts w:hint="eastAsia" w:ascii="宋体" w:hAnsi="宋体" w:eastAsia="宋体" w:cs="宋体"/>
          <w:b/>
          <w:bCs/>
          <w:sz w:val="28"/>
          <w:szCs w:val="28"/>
          <w:lang w:val="en-US" w:eastAsia="zh-CN"/>
        </w:rPr>
        <w:t>偏离表：</w:t>
      </w:r>
      <w:r>
        <w:rPr>
          <w:rFonts w:hint="eastAsia" w:ascii="宋体" w:hAnsi="宋体" w:cs="宋体"/>
          <w:sz w:val="28"/>
          <w:szCs w:val="28"/>
          <w:lang w:val="en-US" w:eastAsia="zh-CN"/>
        </w:rPr>
        <w:t>（供应商需在响应文件中列出参数逐条说明是否满足要求，是否偏离，并提供证明材料。）</w:t>
      </w:r>
    </w:p>
    <w:tbl>
      <w:tblPr>
        <w:tblStyle w:val="9"/>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2" w:name="_Toc9923"/>
      <w:bookmarkStart w:id="3" w:name="_Toc12278"/>
      <w:bookmarkStart w:id="4" w:name="_Toc7334"/>
      <w:r>
        <w:rPr>
          <w:rFonts w:hint="eastAsia" w:ascii="仿宋" w:hAnsi="仿宋" w:eastAsia="仿宋" w:cs="仿宋"/>
          <w:b/>
          <w:color w:val="auto"/>
          <w:sz w:val="28"/>
          <w:szCs w:val="28"/>
        </w:rPr>
        <w:t>中小企业声明函（如有）</w:t>
      </w:r>
      <w:bookmarkEnd w:id="2"/>
      <w:bookmarkEnd w:id="3"/>
      <w:bookmarkEnd w:id="4"/>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pPr>
        <w:pStyle w:val="14"/>
        <w:adjustRightInd w:val="0"/>
        <w:snapToGrid w:val="0"/>
        <w:spacing w:line="360" w:lineRule="auto"/>
        <w:rPr>
          <w:rFonts w:hint="eastAsia" w:ascii="仿宋" w:hAnsi="仿宋" w:eastAsia="仿宋" w:cs="仿宋"/>
          <w:color w:val="auto"/>
          <w:sz w:val="24"/>
          <w:szCs w:val="24"/>
        </w:rPr>
      </w:pP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5" w:name="_Toc8849"/>
      <w:bookmarkStart w:id="6" w:name="_Toc25914"/>
      <w:bookmarkStart w:id="7" w:name="_Toc26663"/>
      <w:bookmarkStart w:id="8" w:name="_Toc12194"/>
      <w:bookmarkStart w:id="9" w:name="_Toc27763"/>
      <w:bookmarkStart w:id="10" w:name="_Toc6320"/>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5"/>
      <w:bookmarkEnd w:id="6"/>
      <w:bookmarkEnd w:id="7"/>
      <w:bookmarkEnd w:id="8"/>
      <w:bookmarkEnd w:id="9"/>
      <w:bookmarkEnd w:id="10"/>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1" w:name="_Toc26397"/>
      <w:bookmarkStart w:id="12" w:name="_Toc24071"/>
      <w:bookmarkStart w:id="13" w:name="_Toc8907"/>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1"/>
      <w:bookmarkEnd w:id="12"/>
      <w:bookmarkEnd w:id="13"/>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D277CD"/>
    <w:rsid w:val="0B2642E4"/>
    <w:rsid w:val="0CEE54C8"/>
    <w:rsid w:val="106A71C2"/>
    <w:rsid w:val="14AB44EF"/>
    <w:rsid w:val="15C00EDA"/>
    <w:rsid w:val="17F579A9"/>
    <w:rsid w:val="18486BBA"/>
    <w:rsid w:val="1A900561"/>
    <w:rsid w:val="1BA261C1"/>
    <w:rsid w:val="1DDD6FCB"/>
    <w:rsid w:val="292F7978"/>
    <w:rsid w:val="2D795D59"/>
    <w:rsid w:val="302C6593"/>
    <w:rsid w:val="328F2A57"/>
    <w:rsid w:val="41F3161F"/>
    <w:rsid w:val="44A31FA8"/>
    <w:rsid w:val="48711144"/>
    <w:rsid w:val="48DD6EFD"/>
    <w:rsid w:val="4A2E6CCE"/>
    <w:rsid w:val="4ABE7791"/>
    <w:rsid w:val="4C6A2EA4"/>
    <w:rsid w:val="4F2A469D"/>
    <w:rsid w:val="51284122"/>
    <w:rsid w:val="524763D0"/>
    <w:rsid w:val="53B333B0"/>
    <w:rsid w:val="58B53CD8"/>
    <w:rsid w:val="59CE44C9"/>
    <w:rsid w:val="5AF328A5"/>
    <w:rsid w:val="62392F01"/>
    <w:rsid w:val="62842E47"/>
    <w:rsid w:val="68DF777A"/>
    <w:rsid w:val="6B8F6694"/>
    <w:rsid w:val="7086465D"/>
    <w:rsid w:val="74DA0E93"/>
    <w:rsid w:val="79584E1A"/>
    <w:rsid w:val="7C00004E"/>
    <w:rsid w:val="7C820D0D"/>
    <w:rsid w:val="7CCC6DC0"/>
    <w:rsid w:val="7E592CFC"/>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 w:type="paragraph" w:customStyle="1" w:styleId="18">
    <w:name w:val="Table Text"/>
    <w:basedOn w:val="1"/>
    <w:semiHidden/>
    <w:qFormat/>
    <w:uiPriority w:val="0"/>
    <w:rPr>
      <w:rFonts w:ascii="宋体" w:hAnsi="宋体" w:eastAsia="宋体" w:cs="宋体"/>
      <w:sz w:val="20"/>
      <w:szCs w:val="20"/>
      <w:lang w:val="en-US" w:eastAsia="en-US" w:bidi="ar-SA"/>
    </w:rPr>
  </w:style>
  <w:style w:type="table" w:customStyle="1" w:styleId="19">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32</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2025-12-26T01:28:26Z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