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0"/>
          <w:szCs w:val="30"/>
          <w:lang w:val="en-US" w:eastAsia="zh-CN"/>
        </w:rPr>
      </w:pPr>
      <w:bookmarkStart w:id="13" w:name="_GoBack"/>
      <w:bookmarkEnd w:id="13"/>
      <w:r>
        <w:rPr>
          <w:rFonts w:hint="eastAsia" w:asciiTheme="majorEastAsia" w:hAnsiTheme="majorEastAsia" w:eastAsiaTheme="majorEastAsia" w:cstheme="majorEastAsia"/>
          <w:sz w:val="30"/>
          <w:szCs w:val="30"/>
          <w:lang w:val="en-US" w:eastAsia="zh-CN"/>
        </w:rPr>
        <w:t xml:space="preserve">附件一：  α、β表面污染测量仪表面污染仪技术参数  </w:t>
      </w:r>
      <w:r>
        <w:rPr>
          <w:rFonts w:hint="eastAsia" w:ascii="仿宋" w:hAnsi="仿宋" w:eastAsia="仿宋" w:cs="仿宋"/>
          <w:sz w:val="30"/>
          <w:szCs w:val="30"/>
          <w:lang w:val="en-US" w:eastAsia="zh-CN"/>
        </w:rPr>
        <w:t xml:space="preserve">           </w:t>
      </w:r>
    </w:p>
    <w:p>
      <w:pPr>
        <w:rPr>
          <w:rFonts w:hint="eastAsia" w:ascii="仿宋" w:hAnsi="仿宋" w:eastAsia="仿宋" w:cs="仿宋"/>
          <w:sz w:val="30"/>
          <w:szCs w:val="30"/>
          <w:lang w:val="en-US" w:eastAsia="zh-CN"/>
        </w:rPr>
      </w:pP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 仪器类型：便携式α、β表面污染测量仪，兼顾χ、γ射 线测量功能。</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 探测器：采用ZnS 涂层与薄膜塑料双闪烁体探测器，灵敏面积≥16cm²。</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 测量范围：α、β表面污染0.00 CPS-10⁵CPS, 支持单位 CPS、CPM、Bq/cm² 、μSv/h 等 。</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 探测效率：239Pu≥20%(2π),90Sr～90Y ≥30%, 固有误差 ≤±20%。</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 显示与操作：高亮度LCD,模拟条与数字同步显示，薄膜按键操作，参数可设。</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 报警功能：具备超阈、欠压、计数故障、高压故障等多重报警，阈值连续可调。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 工作环境：温度-10℃～+50℃,湿度≤95%(35℃)。</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 供电与功耗： AA 电池供电，整机功耗&lt;90 mW, 外形尺寸230×110×180 mm（±10mm）。</w:t>
      </w:r>
    </w:p>
    <w:p>
      <w:pPr>
        <w:pStyle w:val="3"/>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587"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val="en-US" w:eastAsia="zh-CN"/>
        </w:rPr>
        <w:t>项目名称</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1"/>
        <w:gridCol w:w="434"/>
        <w:gridCol w:w="901"/>
        <w:gridCol w:w="1232"/>
        <w:gridCol w:w="796"/>
        <w:gridCol w:w="333"/>
        <w:gridCol w:w="331"/>
        <w:gridCol w:w="1043"/>
        <w:gridCol w:w="174"/>
        <w:gridCol w:w="1371"/>
        <w:gridCol w:w="1662"/>
        <w:gridCol w:w="1398"/>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 w:hRule="atLeast"/>
        </w:trPr>
        <w:tc>
          <w:tcPr>
            <w:tcW w:w="2711"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2295"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2295"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503"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54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3060"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2295"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both"/>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9" w:hRule="exac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567"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043"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545" w:type="dxa"/>
            <w:gridSpan w:val="2"/>
          </w:tcPr>
          <w:p>
            <w:pPr>
              <w:rPr>
                <w:rFonts w:hint="eastAsia" w:asciiTheme="minorEastAsia" w:hAnsiTheme="minorEastAsia" w:eastAsiaTheme="minorEastAsia" w:cstheme="minorEastAsia"/>
                <w:b/>
                <w:sz w:val="22"/>
                <w:szCs w:val="22"/>
              </w:rPr>
            </w:pPr>
          </w:p>
        </w:tc>
        <w:tc>
          <w:tcPr>
            <w:tcW w:w="3060"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2295"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2711"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335"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2919"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662"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693"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711"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244"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726"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6" w:hRule="atLeast"/>
        </w:trPr>
        <w:tc>
          <w:tcPr>
            <w:tcW w:w="14681" w:type="dxa"/>
            <w:gridSpan w:val="13"/>
            <w:shd w:val="clear" w:color="auto" w:fill="FFFFFF" w:themeFill="background1"/>
          </w:tcPr>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服务承诺：        原厂质保:       供货期：接医院通知后</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日历天       维修响应时间：      维修到场时间：</w:t>
            </w:r>
          </w:p>
          <w:p>
            <w:pP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8"/>
                <w:szCs w:val="28"/>
              </w:rPr>
              <mc:AlternateContent>
                <mc:Choice Requires="wps">
                  <w:drawing>
                    <wp:anchor distT="0" distB="0" distL="114300" distR="114300" simplePos="0" relativeHeight="251662336" behindDoc="0" locked="0" layoutInCell="1" allowOverlap="1">
                      <wp:simplePos x="0" y="0"/>
                      <wp:positionH relativeFrom="column">
                        <wp:posOffset>2214245</wp:posOffset>
                      </wp:positionH>
                      <wp:positionV relativeFrom="paragraph">
                        <wp:posOffset>122555</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74.35pt;margin-top:9.65pt;height:14.6pt;width:15.65pt;z-index:251662336;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8"/>
                <w:szCs w:val="28"/>
              </w:rPr>
              <mc:AlternateContent>
                <mc:Choice Requires="wps">
                  <w:drawing>
                    <wp:anchor distT="0" distB="0" distL="114300" distR="114300" simplePos="0" relativeHeight="251663360" behindDoc="0" locked="0" layoutInCell="1" allowOverlap="1">
                      <wp:simplePos x="0" y="0"/>
                      <wp:positionH relativeFrom="column">
                        <wp:posOffset>2711450</wp:posOffset>
                      </wp:positionH>
                      <wp:positionV relativeFrom="paragraph">
                        <wp:posOffset>97790</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213.5pt;margin-top:7.7pt;height:14.6pt;width:15.65pt;z-index:251663360;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8"/>
                <w:szCs w:val="28"/>
              </w:rPr>
              <w:t>维修时是否提供备用机：是    否    ，</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 xml:space="preserve">日内提供  </w:t>
            </w:r>
            <w:r>
              <w:rPr>
                <w:rFonts w:hint="eastAsia" w:asciiTheme="minorEastAsia" w:hAnsiTheme="minorEastAsia" w:eastAsiaTheme="minorEastAsia" w:cstheme="minorEastAsia"/>
                <w:b/>
                <w:sz w:val="28"/>
                <w:szCs w:val="28"/>
                <w:lang w:eastAsia="zh-CN"/>
              </w:rPr>
              <w:t>。</w:t>
            </w:r>
            <w:r>
              <w:rPr>
                <w:rFonts w:hint="eastAsia" w:asciiTheme="minorEastAsia" w:hAnsiTheme="minorEastAsia" w:eastAsiaTheme="minorEastAsia" w:cstheme="minorEastAsia"/>
                <w:b/>
                <w:sz w:val="28"/>
                <w:szCs w:val="28"/>
              </w:rPr>
              <w:t xml:space="preserve">  有</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名常驻</w:t>
            </w:r>
            <w:r>
              <w:rPr>
                <w:rFonts w:hint="eastAsia" w:asciiTheme="minorEastAsia" w:hAnsiTheme="minorEastAsia" w:eastAsiaTheme="minorEastAsia" w:cstheme="minorEastAsia"/>
                <w:b/>
                <w:sz w:val="28"/>
                <w:szCs w:val="28"/>
                <w:lang w:val="en-US" w:eastAsia="zh-CN"/>
              </w:rPr>
              <w:t>腾冲</w:t>
            </w:r>
            <w:r>
              <w:rPr>
                <w:rFonts w:hint="eastAsia" w:asciiTheme="minorEastAsia" w:hAnsiTheme="minorEastAsia" w:eastAsiaTheme="minorEastAsia" w:cstheme="minorEastAsia"/>
                <w:b/>
                <w:sz w:val="28"/>
                <w:szCs w:val="28"/>
              </w:rPr>
              <w:t>工程师，其中厂家工程师</w:t>
            </w:r>
            <w:r>
              <w:rPr>
                <w:rFonts w:hint="eastAsia" w:asciiTheme="minorEastAsia" w:hAnsiTheme="minorEastAsia" w:eastAsiaTheme="minorEastAsia" w:cstheme="minorEastAsia"/>
                <w:b/>
                <w:sz w:val="28"/>
                <w:szCs w:val="28"/>
                <w:u w:val="single"/>
              </w:rPr>
              <w:t xml:space="preserve">  </w:t>
            </w:r>
            <w:r>
              <w:rPr>
                <w:rFonts w:hint="eastAsia" w:asciiTheme="minorEastAsia" w:hAnsiTheme="minorEastAsia" w:eastAsiaTheme="minorEastAsia" w:cstheme="minorEastAsia"/>
                <w:b/>
                <w:sz w:val="28"/>
                <w:szCs w:val="28"/>
              </w:rPr>
              <w:t xml:space="preserve">名 </w:t>
            </w:r>
            <w:r>
              <w:rPr>
                <w:rFonts w:hint="eastAsia" w:asciiTheme="minorEastAsia" w:hAnsiTheme="minorEastAsia" w:eastAsiaTheme="minorEastAsia" w:cstheme="minorEastAsia"/>
                <w:b/>
                <w:sz w:val="28"/>
                <w:szCs w:val="28"/>
                <w:lang w:eastAsia="zh-CN"/>
              </w:rPr>
              <w:t>。</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8"/>
                <w:szCs w:val="28"/>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2" w:hRule="atLeast"/>
        </w:trPr>
        <w:tc>
          <w:tcPr>
            <w:tcW w:w="3145"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同型号设备国内/省内</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三</w:t>
            </w:r>
            <w:r>
              <w:rPr>
                <w:rFonts w:hint="eastAsia" w:asciiTheme="minorEastAsia" w:hAnsiTheme="minorEastAsia" w:eastAsiaTheme="minorEastAsia" w:cstheme="minorEastAsia"/>
                <w:b/>
                <w:sz w:val="28"/>
                <w:szCs w:val="28"/>
                <w:lang w:val="en-US" w:eastAsia="zh-CN"/>
              </w:rPr>
              <w:t>级</w:t>
            </w:r>
            <w:r>
              <w:rPr>
                <w:rFonts w:hint="eastAsia" w:asciiTheme="minorEastAsia" w:hAnsiTheme="minorEastAsia" w:eastAsiaTheme="minorEastAsia" w:cstheme="minorEastAsia"/>
                <w:b/>
                <w:sz w:val="28"/>
                <w:szCs w:val="28"/>
              </w:rPr>
              <w:t>医院装机情况</w:t>
            </w:r>
          </w:p>
        </w:tc>
        <w:tc>
          <w:tcPr>
            <w:tcW w:w="11536" w:type="dxa"/>
            <w:gridSpan w:val="11"/>
          </w:tcPr>
          <w:p>
            <w:pPr>
              <w:rPr>
                <w:rFonts w:hint="eastAsia" w:asciiTheme="minorEastAsia" w:hAnsiTheme="minorEastAsia" w:eastAsiaTheme="minorEastAsia" w:cstheme="minor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3" w:hRule="atLeast"/>
        </w:trPr>
        <w:tc>
          <w:tcPr>
            <w:tcW w:w="14681" w:type="dxa"/>
            <w:gridSpan w:val="13"/>
          </w:tcPr>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第二次服务承诺、质保、维修响应时间及其他情况补充说明：</w:t>
            </w:r>
          </w:p>
          <w:p>
            <w:pP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签名/盖章 ：</w:t>
            </w:r>
          </w:p>
        </w:tc>
      </w:tr>
    </w:tbl>
    <w:p>
      <w:pPr>
        <w:ind w:right="420"/>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cs="宋体"/>
          <w:b/>
          <w:bCs/>
          <w:sz w:val="28"/>
          <w:szCs w:val="28"/>
          <w:lang w:val="en-US" w:eastAsia="zh-CN"/>
        </w:rPr>
        <w:t>2.4</w:t>
      </w:r>
      <w:r>
        <w:rPr>
          <w:rFonts w:hint="eastAsia" w:ascii="宋体" w:hAnsi="宋体" w:eastAsia="宋体" w:cs="宋体"/>
          <w:b/>
          <w:bCs/>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5</w:t>
      </w:r>
      <w:r>
        <w:rPr>
          <w:rFonts w:hint="eastAsia" w:ascii="宋体" w:hAnsi="宋体" w:eastAsia="宋体" w:cs="宋体"/>
          <w:b/>
          <w:bCs/>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2.7</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ind w:left="0" w:leftChars="0" w:firstLine="0" w:firstLineChars="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 投标人资质证明材料：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 技术部分：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4.1技术偏离表：</w:t>
      </w:r>
      <w:r>
        <w:rPr>
          <w:rFonts w:hint="eastAsia" w:ascii="宋体" w:hAnsi="宋体" w:cs="宋体"/>
          <w:sz w:val="28"/>
          <w:szCs w:val="28"/>
          <w:lang w:val="en-US" w:eastAsia="zh-CN"/>
        </w:rPr>
        <w:t>（供应商需在响应文件中列出参数逐条说明是否满足要求，是否偏离，并提供证明材料。）</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12278"/>
      <w:bookmarkStart w:id="2" w:name="_Toc7334"/>
      <w:bookmarkStart w:id="3" w:name="_Toc9923"/>
      <w:r>
        <w:rPr>
          <w:rFonts w:hint="eastAsia" w:ascii="仿宋" w:hAnsi="仿宋" w:eastAsia="仿宋" w:cs="仿宋"/>
          <w:b/>
          <w:color w:val="auto"/>
          <w:sz w:val="28"/>
          <w:szCs w:val="28"/>
        </w:rPr>
        <w:t>中小企业声明函（如有）</w:t>
      </w:r>
      <w:bookmarkEnd w:id="1"/>
      <w:bookmarkEnd w:id="2"/>
      <w:bookmarkEnd w:id="3"/>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6663"/>
      <w:bookmarkStart w:id="5" w:name="_Toc8849"/>
      <w:bookmarkStart w:id="6" w:name="_Toc25914"/>
      <w:bookmarkStart w:id="7" w:name="_Toc6320"/>
      <w:bookmarkStart w:id="8" w:name="_Toc12194"/>
      <w:bookmarkStart w:id="9" w:name="_Toc27763"/>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8907"/>
      <w:bookmarkStart w:id="11" w:name="_Toc24071"/>
      <w:bookmarkStart w:id="12" w:name="_Toc2639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pPr>
        <w:rPr>
          <w:rFonts w:hint="default"/>
          <w:lang w:val="en-US" w:eastAsia="zh-CN"/>
        </w:rPr>
      </w:pPr>
    </w:p>
    <w:p>
      <w:pPr>
        <w:pStyle w:val="5"/>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D277CD"/>
    <w:rsid w:val="0CEE54C8"/>
    <w:rsid w:val="14AB44EF"/>
    <w:rsid w:val="18486BBA"/>
    <w:rsid w:val="1BA261C1"/>
    <w:rsid w:val="1DDD6FCB"/>
    <w:rsid w:val="292F7978"/>
    <w:rsid w:val="2D795D59"/>
    <w:rsid w:val="328F2A57"/>
    <w:rsid w:val="48711144"/>
    <w:rsid w:val="48DD6EFD"/>
    <w:rsid w:val="4A2E6CCE"/>
    <w:rsid w:val="4ABE7791"/>
    <w:rsid w:val="51284122"/>
    <w:rsid w:val="524763D0"/>
    <w:rsid w:val="53B333B0"/>
    <w:rsid w:val="58B53CD8"/>
    <w:rsid w:val="59CE44C9"/>
    <w:rsid w:val="5AF328A5"/>
    <w:rsid w:val="62392F01"/>
    <w:rsid w:val="68DF777A"/>
    <w:rsid w:val="6B8F6694"/>
    <w:rsid w:val="7086465D"/>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2025-12-19T08:53:11Z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