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附件：          </w:t>
      </w:r>
    </w:p>
    <w:p>
      <w:pPr>
        <w:keepNext w:val="0"/>
        <w:keepLines w:val="0"/>
        <w:pageBreakBefore w:val="0"/>
        <w:widowControl w:val="0"/>
        <w:kinsoku/>
        <w:wordWrap/>
        <w:overflowPunct/>
        <w:topLinePunct w:val="0"/>
        <w:autoSpaceDE/>
        <w:autoSpaceDN/>
        <w:bidi w:val="0"/>
        <w:adjustRightInd/>
        <w:snapToGrid/>
        <w:spacing w:line="480" w:lineRule="exact"/>
        <w:ind w:firstLine="2650" w:firstLineChars="1100"/>
        <w:jc w:val="both"/>
        <w:textAlignment w:val="auto"/>
        <w:rPr>
          <w:rFonts w:hint="default"/>
          <w:lang w:val="en-US" w:eastAsia="zh-CN"/>
        </w:rPr>
      </w:pPr>
      <w:r>
        <w:rPr>
          <w:rFonts w:hint="eastAsia" w:ascii="宋体" w:hAnsi="宋体" w:eastAsia="宋体" w:cs="宋体"/>
          <w:b/>
          <w:bCs/>
          <w:sz w:val="24"/>
          <w:szCs w:val="24"/>
          <w:lang w:val="en-US" w:eastAsia="zh-CN"/>
        </w:rPr>
        <w:t>震动式物理治疗仪采购需求参数</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供电电源</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220VAC，50Hz</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振动频率</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10-50Hz，控制精度±1Hz，连续可调</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振动时间</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1-60分钟，连续可调</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输出路数</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单路输出</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微软雅黑" w:hAnsi="微软雅黑" w:eastAsia="微软雅黑" w:cs="微软雅黑"/>
          <w:color w:val="auto"/>
          <w:sz w:val="24"/>
          <w:szCs w:val="24"/>
          <w:highlight w:val="none"/>
          <w:lang w:val="en-US" w:eastAsia="zh-CN"/>
        </w:rPr>
        <w:t>★</w:t>
      </w:r>
      <w:r>
        <w:rPr>
          <w:rFonts w:hint="eastAsia" w:ascii="宋体" w:hAnsi="宋体" w:eastAsia="宋体" w:cs="宋体"/>
          <w:sz w:val="24"/>
          <w:szCs w:val="24"/>
        </w:rPr>
        <w:t>振动幅度</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动力头内有偏心块结构，偏心块偏心距为2.5mm，产生径向振幅≤5mm，振幅产生叩击力</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叩击换向器</w:t>
      </w:r>
      <w:r>
        <w:rPr>
          <w:rFonts w:hint="eastAsia" w:ascii="宋体" w:hAnsi="宋体" w:eastAsia="宋体" w:cs="宋体"/>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1）配置可调角度叩击换向器，叩击头可进行180度调整，方便不同体位使用；</w:t>
      </w:r>
    </w:p>
    <w:p>
      <w:pPr>
        <w:keepNext w:val="0"/>
        <w:keepLines w:val="0"/>
        <w:pageBreakBefore w:val="0"/>
        <w:widowControl w:val="0"/>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2）配置90度固定角度叩击换向器</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微软雅黑" w:hAnsi="微软雅黑" w:eastAsia="微软雅黑" w:cs="微软雅黑"/>
          <w:color w:val="auto"/>
          <w:sz w:val="24"/>
          <w:szCs w:val="24"/>
          <w:highlight w:val="none"/>
          <w:lang w:val="en-US" w:eastAsia="zh-CN"/>
        </w:rPr>
        <w:t>★</w:t>
      </w:r>
      <w:r>
        <w:rPr>
          <w:rFonts w:hint="eastAsia" w:ascii="宋体" w:hAnsi="宋体" w:eastAsia="宋体" w:cs="宋体"/>
          <w:sz w:val="24"/>
          <w:szCs w:val="24"/>
        </w:rPr>
        <w:t>动力管</w:t>
      </w:r>
      <w:r>
        <w:rPr>
          <w:rFonts w:hint="eastAsia" w:ascii="宋体" w:hAnsi="宋体" w:eastAsia="宋体" w:cs="宋体"/>
          <w:sz w:val="24"/>
          <w:szCs w:val="24"/>
          <w:lang w:val="en-US" w:eastAsia="zh-CN"/>
        </w:rPr>
        <w:t>:</w:t>
      </w:r>
      <w:r>
        <w:rPr>
          <w:rFonts w:hint="eastAsia" w:ascii="宋体" w:hAnsi="宋体" w:eastAsia="宋体" w:cs="宋体"/>
          <w:sz w:val="24"/>
          <w:szCs w:val="24"/>
        </w:rPr>
        <w:t>长度2米，采用柔性弹簧钢材质和减震弹簧，运行噪音低，使用寿命长</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人机交互界面</w:t>
      </w:r>
      <w:r>
        <w:rPr>
          <w:rFonts w:hint="eastAsia" w:ascii="宋体" w:hAnsi="宋体" w:eastAsia="宋体" w:cs="宋体"/>
          <w:sz w:val="24"/>
          <w:szCs w:val="24"/>
          <w:lang w:val="en-US" w:eastAsia="zh-CN"/>
        </w:rPr>
        <w:t>:</w:t>
      </w:r>
      <w:r>
        <w:rPr>
          <w:rFonts w:hint="eastAsia" w:ascii="宋体" w:hAnsi="宋体" w:eastAsia="宋体" w:cs="宋体"/>
          <w:sz w:val="24"/>
          <w:szCs w:val="24"/>
        </w:rPr>
        <w:tab/>
      </w:r>
      <w:r>
        <w:rPr>
          <w:rFonts w:hint="eastAsia" w:ascii="宋体" w:hAnsi="宋体" w:eastAsia="宋体" w:cs="宋体"/>
          <w:sz w:val="24"/>
          <w:szCs w:val="24"/>
        </w:rPr>
        <w:t>高亮电子数码管显示，简易按键式操作</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伺服系统</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采用24V安全电压和伺服系统电路设计，使得设定振动频率与动力头实际输出振动频率保持一致</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叩击头</w:t>
      </w:r>
      <w:r>
        <w:rPr>
          <w:rFonts w:hint="eastAsia" w:ascii="宋体" w:hAnsi="宋体" w:eastAsia="宋体" w:cs="宋体"/>
          <w:sz w:val="24"/>
          <w:szCs w:val="24"/>
          <w:lang w:eastAsia="zh-CN"/>
        </w:rPr>
        <w:t>：</w:t>
      </w:r>
      <w:r>
        <w:rPr>
          <w:rFonts w:hint="eastAsia" w:ascii="宋体" w:hAnsi="宋体" w:eastAsia="宋体" w:cs="宋体"/>
          <w:sz w:val="24"/>
          <w:szCs w:val="24"/>
        </w:rPr>
        <w:tab/>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1号叩击头（外径尺寸Φ130mm，滑面硅橡胶叩击头）：增强型，强力治疗使用；</w:t>
      </w:r>
    </w:p>
    <w:p>
      <w:pPr>
        <w:keepNext w:val="0"/>
        <w:keepLines w:val="0"/>
        <w:pageBreakBefore w:val="0"/>
        <w:widowControl w:val="0"/>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2号叩击头（外径尺寸Φ9</w:t>
      </w:r>
      <w:r>
        <w:rPr>
          <w:rFonts w:hint="eastAsia" w:ascii="宋体" w:hAnsi="宋体" w:eastAsia="宋体" w:cs="宋体"/>
          <w:sz w:val="24"/>
          <w:szCs w:val="24"/>
          <w:lang w:val="en-US" w:eastAsia="zh-CN"/>
        </w:rPr>
        <w:t>2</w:t>
      </w:r>
      <w:r>
        <w:rPr>
          <w:rFonts w:hint="eastAsia" w:ascii="宋体" w:hAnsi="宋体" w:eastAsia="宋体" w:cs="宋体"/>
          <w:sz w:val="24"/>
          <w:szCs w:val="24"/>
        </w:rPr>
        <w:t>mm，聚氨酯海绵面叩击头）：标准型，普通治疗或护理使用；</w:t>
      </w:r>
    </w:p>
    <w:p>
      <w:pPr>
        <w:keepNext w:val="0"/>
        <w:keepLines w:val="0"/>
        <w:pageBreakBefore w:val="0"/>
        <w:widowControl w:val="0"/>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3号叩击头（外径尺寸Φ68mm，聚氨酯海绵面叩击头）：柔和型，特殊治疗或护理使用；</w:t>
      </w:r>
    </w:p>
    <w:p>
      <w:pPr>
        <w:keepNext w:val="0"/>
        <w:keepLines w:val="0"/>
        <w:pageBreakBefore w:val="0"/>
        <w:widowControl w:val="0"/>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4号叩击头（羊角形，聚氨酯海绵面叩击头）：特定型，肋、肩等部位治疗或护理使用</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微软雅黑" w:hAnsi="微软雅黑" w:eastAsia="微软雅黑" w:cs="微软雅黑"/>
          <w:color w:val="auto"/>
          <w:sz w:val="24"/>
          <w:szCs w:val="24"/>
          <w:highlight w:val="none"/>
          <w:lang w:val="en-US" w:eastAsia="zh-CN"/>
        </w:rPr>
        <w:t>★</w:t>
      </w:r>
      <w:r>
        <w:rPr>
          <w:rFonts w:hint="eastAsia" w:ascii="宋体" w:hAnsi="宋体" w:eastAsia="宋体" w:cs="宋体"/>
          <w:sz w:val="24"/>
          <w:szCs w:val="24"/>
        </w:rPr>
        <w:t>智能工作程序</w:t>
      </w:r>
      <w:r>
        <w:rPr>
          <w:rFonts w:hint="eastAsia" w:ascii="宋体" w:hAnsi="宋体" w:eastAsia="宋体" w:cs="宋体"/>
          <w:sz w:val="24"/>
          <w:szCs w:val="24"/>
          <w:lang w:eastAsia="zh-CN"/>
        </w:rPr>
        <w:t>：</w:t>
      </w:r>
      <w:r>
        <w:rPr>
          <w:rFonts w:hint="eastAsia" w:ascii="宋体" w:hAnsi="宋体" w:eastAsia="宋体" w:cs="宋体"/>
          <w:sz w:val="24"/>
          <w:szCs w:val="24"/>
        </w:rPr>
        <w:t>提供三种适合中国人体形特征的智能变频程序，在一定的变频范围的振动有利于不同粘稠度的痰液或气道分泌物震碎或以气道壁上脱落</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噪声控制</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正常振动频率（25Hz）运行时的噪声约60dB，最大振动频率运行时的噪声≤7</w:t>
      </w:r>
      <w:r>
        <w:rPr>
          <w:rFonts w:hint="eastAsia" w:ascii="宋体" w:hAnsi="宋体" w:eastAsia="宋体" w:cs="宋体"/>
          <w:sz w:val="24"/>
          <w:szCs w:val="24"/>
          <w:lang w:val="en-US" w:eastAsia="zh-CN"/>
        </w:rPr>
        <w:t>2</w:t>
      </w:r>
      <w:r>
        <w:rPr>
          <w:rFonts w:hint="eastAsia" w:ascii="宋体" w:hAnsi="宋体" w:eastAsia="宋体" w:cs="宋体"/>
          <w:sz w:val="24"/>
          <w:szCs w:val="24"/>
        </w:rPr>
        <w:t>dB</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default" w:ascii="宋体" w:hAnsi="宋体" w:eastAsia="宋体" w:cs="宋体"/>
          <w:sz w:val="24"/>
          <w:szCs w:val="24"/>
          <w:lang w:val="en-US"/>
        </w:rPr>
      </w:pPr>
      <w:r>
        <w:rPr>
          <w:rFonts w:hint="eastAsia" w:ascii="微软雅黑" w:hAnsi="微软雅黑" w:eastAsia="微软雅黑" w:cs="微软雅黑"/>
          <w:color w:val="auto"/>
          <w:sz w:val="24"/>
          <w:szCs w:val="24"/>
          <w:highlight w:val="none"/>
          <w:lang w:val="en-US" w:eastAsia="zh-CN"/>
        </w:rPr>
        <w:t>★</w:t>
      </w:r>
      <w:r>
        <w:rPr>
          <w:rFonts w:hint="eastAsia" w:ascii="宋体" w:hAnsi="宋体" w:eastAsia="宋体" w:cs="宋体"/>
          <w:sz w:val="24"/>
          <w:szCs w:val="24"/>
          <w:lang w:val="en-US" w:eastAsia="zh-CN"/>
        </w:rPr>
        <w:t>设备使用年限：</w:t>
      </w:r>
      <w:r>
        <w:rPr>
          <w:rFonts w:ascii="Arial" w:hAnsi="Arial" w:eastAsia="Arial" w:cs="Arial"/>
          <w:i w:val="0"/>
          <w:iCs w:val="0"/>
          <w:caps w:val="0"/>
          <w:color w:val="333333"/>
          <w:spacing w:val="0"/>
          <w:sz w:val="32"/>
          <w:szCs w:val="32"/>
          <w:shd w:val="clear" w:fill="FFFFFF"/>
        </w:rPr>
        <w:t>≥</w:t>
      </w:r>
      <w:r>
        <w:rPr>
          <w:rFonts w:hint="eastAsia" w:ascii="宋体" w:hAnsi="宋体" w:eastAsia="宋体" w:cs="宋体"/>
          <w:sz w:val="24"/>
          <w:szCs w:val="24"/>
          <w:lang w:val="en-US" w:eastAsia="zh-CN"/>
        </w:rPr>
        <w:t>10年（提供证明文件）</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4"/>
          <w:szCs w:val="24"/>
          <w:lang w:val="en-US" w:eastAsia="zh-CN"/>
        </w:rPr>
      </w:pPr>
    </w:p>
    <w:tbl>
      <w:tblPr>
        <w:tblStyle w:val="8"/>
        <w:tblW w:w="5700" w:type="dxa"/>
        <w:jc w:val="center"/>
        <w:tblInd w:w="0" w:type="dxa"/>
        <w:tblLayout w:type="fixed"/>
        <w:tblCellMar>
          <w:top w:w="0" w:type="dxa"/>
          <w:left w:w="0" w:type="dxa"/>
          <w:bottom w:w="0" w:type="dxa"/>
          <w:right w:w="0" w:type="dxa"/>
        </w:tblCellMar>
      </w:tblPr>
      <w:tblGrid>
        <w:gridCol w:w="579"/>
        <w:gridCol w:w="2328"/>
        <w:gridCol w:w="2214"/>
        <w:gridCol w:w="579"/>
      </w:tblGrid>
      <w:tr>
        <w:tblPrEx>
          <w:tblLayout w:type="fixed"/>
          <w:tblCellMar>
            <w:top w:w="0" w:type="dxa"/>
            <w:left w:w="0" w:type="dxa"/>
            <w:bottom w:w="0" w:type="dxa"/>
            <w:right w:w="0" w:type="dxa"/>
          </w:tblCellMar>
        </w:tblPrEx>
        <w:trPr>
          <w:trHeight w:val="585" w:hRule="atLeast"/>
          <w:jc w:val="center"/>
        </w:trPr>
        <w:tc>
          <w:tcPr>
            <w:tcW w:w="570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color w:val="000000"/>
                <w:kern w:val="0"/>
                <w:sz w:val="32"/>
                <w:szCs w:val="32"/>
                <w:u w:val="none"/>
                <w:lang w:val="en-US" w:eastAsia="zh-CN" w:bidi="ar"/>
              </w:rPr>
              <w:t>震动式物理治疗仪装箱单</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名     称</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w:t>
            </w:r>
            <w:r>
              <w:rPr>
                <w:rFonts w:hint="default" w:ascii="Times New Roman" w:hAnsi="Times New Roman" w:eastAsia="宋体" w:cs="Times New Roman"/>
                <w:i w:val="0"/>
                <w:color w:val="000000"/>
                <w:kern w:val="0"/>
                <w:sz w:val="28"/>
                <w:szCs w:val="28"/>
                <w:u w:val="none"/>
                <w:lang w:val="en-US" w:eastAsia="zh-CN" w:bidi="ar"/>
              </w:rPr>
              <w:t xml:space="preserve"> </w:t>
            </w:r>
            <w:r>
              <w:rPr>
                <w:rFonts w:hint="eastAsia" w:ascii="宋体" w:hAnsi="宋体" w:eastAsia="宋体" w:cs="宋体"/>
                <w:i w:val="0"/>
                <w:color w:val="000000"/>
                <w:kern w:val="0"/>
                <w:sz w:val="28"/>
                <w:szCs w:val="28"/>
                <w:u w:val="none"/>
                <w:lang w:val="en-US" w:eastAsia="zh-CN" w:bidi="ar"/>
              </w:rPr>
              <w:t>格</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数量</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主机</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电源线</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3000×3×0.75mm</w:t>
            </w:r>
            <w:r>
              <w:rPr>
                <w:rFonts w:hint="eastAsia" w:ascii="宋体" w:hAnsi="宋体" w:eastAsia="宋体" w:cs="宋体"/>
                <w:i w:val="0"/>
                <w:color w:val="000000"/>
                <w:kern w:val="0"/>
                <w:sz w:val="24"/>
                <w:szCs w:val="24"/>
                <w:u w:val="none"/>
                <w:vertAlign w:val="superscript"/>
                <w:lang w:val="en-US" w:eastAsia="zh-CN" w:bidi="ar"/>
              </w:rPr>
              <w:t>2</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使用说明书</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合格证/保修卡</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保险管</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T5AH250V</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内六角扳手</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4mm</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简易操作说明书</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1号叩击头</w:t>
            </w:r>
            <w:r>
              <w:rPr>
                <w:rFonts w:hint="default" w:ascii="Times New Roman" w:hAnsi="Times New Roman" w:eastAsia="宋体" w:cs="Times New Roman"/>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φ</w:t>
            </w:r>
            <w:r>
              <w:rPr>
                <w:rFonts w:hint="default" w:ascii="Times New Roman" w:hAnsi="Times New Roman" w:eastAsia="宋体" w:cs="Times New Roman"/>
                <w:i w:val="0"/>
                <w:color w:val="000000"/>
                <w:kern w:val="0"/>
                <w:sz w:val="24"/>
                <w:szCs w:val="24"/>
                <w:u w:val="none"/>
                <w:lang w:val="en-US" w:eastAsia="zh-CN" w:bidi="ar"/>
              </w:rPr>
              <w:t>130)</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2号叩击头</w:t>
            </w:r>
            <w:r>
              <w:rPr>
                <w:rFonts w:hint="default" w:ascii="Times New Roman" w:hAnsi="Times New Roman" w:eastAsia="宋体" w:cs="Times New Roman"/>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φ</w:t>
            </w:r>
            <w:r>
              <w:rPr>
                <w:rFonts w:hint="default" w:ascii="Times New Roman" w:hAnsi="Times New Roman" w:eastAsia="宋体" w:cs="Times New Roman"/>
                <w:i w:val="0"/>
                <w:color w:val="000000"/>
                <w:kern w:val="0"/>
                <w:sz w:val="24"/>
                <w:szCs w:val="24"/>
                <w:u w:val="none"/>
                <w:lang w:val="en-US" w:eastAsia="zh-CN" w:bidi="ar"/>
              </w:rPr>
              <w:t>9</w:t>
            </w:r>
            <w:r>
              <w:rPr>
                <w:rFonts w:hint="eastAsia" w:ascii="Times New Roman" w:hAnsi="Times New Roman" w:cs="Times New Roman"/>
                <w:i w:val="0"/>
                <w:color w:val="000000"/>
                <w:kern w:val="0"/>
                <w:sz w:val="24"/>
                <w:szCs w:val="24"/>
                <w:u w:val="none"/>
                <w:lang w:val="en-US" w:eastAsia="zh-CN" w:bidi="ar"/>
              </w:rPr>
              <w:t>2</w:t>
            </w:r>
            <w:r>
              <w:rPr>
                <w:rFonts w:hint="default" w:ascii="Times New Roman" w:hAnsi="Times New Roman" w:eastAsia="宋体" w:cs="Times New Roman"/>
                <w:i w:val="0"/>
                <w:color w:val="000000"/>
                <w:kern w:val="0"/>
                <w:sz w:val="24"/>
                <w:szCs w:val="24"/>
                <w:u w:val="none"/>
                <w:lang w:val="en-US" w:eastAsia="zh-CN" w:bidi="ar"/>
              </w:rPr>
              <w:t>)</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3号叩击头</w:t>
            </w:r>
            <w:r>
              <w:rPr>
                <w:rFonts w:hint="default" w:ascii="Times New Roman" w:hAnsi="Times New Roman" w:eastAsia="宋体" w:cs="Times New Roman"/>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φ</w:t>
            </w:r>
            <w:r>
              <w:rPr>
                <w:rFonts w:hint="default" w:ascii="Times New Roman" w:hAnsi="Times New Roman" w:eastAsia="宋体" w:cs="Times New Roman"/>
                <w:i w:val="0"/>
                <w:color w:val="000000"/>
                <w:kern w:val="0"/>
                <w:sz w:val="24"/>
                <w:szCs w:val="24"/>
                <w:u w:val="none"/>
                <w:lang w:val="en-US" w:eastAsia="zh-CN" w:bidi="ar"/>
              </w:rPr>
              <w:t>68)</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4号叩击头</w:t>
            </w:r>
            <w:r>
              <w:rPr>
                <w:rFonts w:hint="default" w:ascii="Times New Roman" w:hAnsi="Times New Roman" w:eastAsia="宋体" w:cs="Times New Roman"/>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羊角形</w:t>
            </w:r>
            <w:r>
              <w:rPr>
                <w:rFonts w:hint="default" w:ascii="Times New Roman" w:hAnsi="Times New Roman" w:eastAsia="宋体" w:cs="Times New Roman"/>
                <w:i w:val="0"/>
                <w:color w:val="000000"/>
                <w:kern w:val="0"/>
                <w:sz w:val="24"/>
                <w:szCs w:val="24"/>
                <w:u w:val="none"/>
                <w:lang w:val="en-US" w:eastAsia="zh-CN" w:bidi="ar"/>
              </w:rPr>
              <w:t>)</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1号叩击头布套</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2号叩击头布套</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3号叩击头布套</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4号叩击头布套</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支撑盘</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支撑杆</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支架</w:t>
            </w:r>
            <w:r>
              <w:rPr>
                <w:rFonts w:hint="default" w:ascii="Times New Roman" w:hAnsi="Times New Roman" w:eastAsia="宋体" w:cs="Times New Roman"/>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带五个脚轮</w:t>
            </w:r>
            <w:r>
              <w:rPr>
                <w:rFonts w:hint="default" w:ascii="Times New Roman" w:hAnsi="Times New Roman" w:eastAsia="宋体" w:cs="Times New Roman"/>
                <w:i w:val="0"/>
                <w:color w:val="000000"/>
                <w:kern w:val="0"/>
                <w:sz w:val="24"/>
                <w:szCs w:val="24"/>
                <w:u w:val="none"/>
                <w:lang w:val="en-US" w:eastAsia="zh-CN" w:bidi="ar"/>
              </w:rPr>
              <w:t>)</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挂篮</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叩击换向器</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Layout w:type="fixed"/>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可调叩击换向器</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default" w:ascii="宋体" w:hAnsi="宋体" w:eastAsia="宋体" w:cs="宋体"/>
          <w:sz w:val="24"/>
          <w:szCs w:val="24"/>
          <w:lang w:val="en-US" w:eastAsia="zh-CN"/>
        </w:rPr>
      </w:pPr>
    </w:p>
    <w:p>
      <w:pPr>
        <w:pStyle w:val="4"/>
        <w:bidi w:val="0"/>
        <w:ind w:left="0" w:leftChars="0" w:firstLine="0" w:firstLineChars="0"/>
        <w:rPr>
          <w:rFonts w:hint="eastAsia" w:ascii="黑体" w:hAnsi="黑体" w:eastAsia="黑体" w:cs="黑体"/>
          <w:b w:val="0"/>
          <w:bCs w:val="0"/>
          <w:sz w:val="32"/>
          <w:szCs w:val="32"/>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响应材料格式提交模版</w:t>
      </w:r>
    </w:p>
    <w:p>
      <w:pPr>
        <w:pStyle w:val="4"/>
        <w:rPr>
          <w:rFonts w:hint="default"/>
          <w:lang w:val="en-US" w:eastAsia="zh-CN"/>
        </w:rPr>
      </w:pPr>
    </w:p>
    <w:p>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8"/>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8"/>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widowControl/>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5"/>
        <w:rPr>
          <w:rFonts w:hint="eastAsia"/>
          <w:lang w:val="en-US" w:eastAsia="zh-CN"/>
        </w:rPr>
      </w:pP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4"/>
        <w:rPr>
          <w:rFonts w:hint="eastAsia"/>
          <w:lang w:val="en-US" w:eastAsia="zh-CN"/>
        </w:rPr>
      </w:pPr>
    </w:p>
    <w:p>
      <w:pPr>
        <w:pStyle w:val="4"/>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cs="宋体"/>
          <w:sz w:val="28"/>
          <w:szCs w:val="28"/>
          <w:lang w:val="en-US" w:eastAsia="zh-CN"/>
        </w:rPr>
        <w:t>7</w:t>
      </w:r>
      <w:r>
        <w:rPr>
          <w:rFonts w:hint="eastAsia" w:ascii="宋体" w:hAnsi="宋体" w:eastAsia="宋体" w:cs="宋体"/>
          <w:sz w:val="28"/>
          <w:szCs w:val="28"/>
          <w:lang w:val="en-US" w:eastAsia="zh-CN"/>
        </w:rPr>
        <w:t>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8"/>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4.1.1供应商需在响应文件中列出参数逐条说明是否满足要求，是否偏离，并提供证明材料。</w:t>
      </w:r>
    </w:p>
    <w:p>
      <w:pPr>
        <w:rPr>
          <w:rFonts w:hint="eastAsia"/>
          <w:lang w:val="en-US" w:eastAsia="zh-CN"/>
        </w:rPr>
      </w:pP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bookmarkStart w:id="13" w:name="_GoBack"/>
      <w:bookmarkEnd w:id="13"/>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8"/>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43"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exac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850"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U1l0a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TWXRp&#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18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ind w:right="420" w:firstLine="10710" w:firstLineChars="5100"/>
        <w:rPr>
          <w:rFonts w:hint="eastAsia"/>
          <w:szCs w:val="21"/>
          <w:lang w:val="en-US" w:eastAsia="zh-CN"/>
        </w:rPr>
      </w:pPr>
      <w:r>
        <w:rPr>
          <w:rFonts w:hint="eastAsia"/>
          <w:szCs w:val="21"/>
          <w:lang w:val="en-US" w:eastAsia="zh-CN"/>
        </w:rPr>
        <w:t>腾冲市人民医院招标采购办公室制表</w:t>
      </w:r>
    </w:p>
    <w:p>
      <w:pPr>
        <w:pStyle w:val="2"/>
        <w:rPr>
          <w:rFonts w:hint="eastAsia"/>
          <w:szCs w:val="21"/>
          <w:lang w:val="en-US" w:eastAsia="zh-CN"/>
        </w:rPr>
      </w:pPr>
    </w:p>
    <w:p>
      <w:pPr>
        <w:rPr>
          <w:rFonts w:hint="eastAsia"/>
          <w:szCs w:val="21"/>
          <w:lang w:val="en-US" w:eastAsia="zh-CN"/>
        </w:rPr>
      </w:pPr>
    </w:p>
    <w:p>
      <w:pPr>
        <w:pStyle w:val="2"/>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pPr>
        <w:jc w:val="center"/>
        <w:rPr>
          <w:rFonts w:hint="eastAsia" w:ascii="宋体" w:hAnsi="宋体" w:eastAsia="宋体" w:cs="宋体"/>
          <w:b/>
          <w:color w:val="auto"/>
          <w:sz w:val="30"/>
          <w:szCs w:val="30"/>
        </w:rPr>
      </w:pPr>
      <w:bookmarkStart w:id="1" w:name="_Toc7334"/>
      <w:bookmarkStart w:id="2" w:name="_Toc12278"/>
      <w:bookmarkStart w:id="3" w:name="_Toc9923"/>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1"/>
      <w:bookmarkEnd w:id="2"/>
      <w:bookmarkEnd w:id="3"/>
    </w:p>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pPr>
        <w:pStyle w:val="12"/>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pPr>
        <w:pStyle w:val="1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pPr>
        <w:pStyle w:val="1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pPr>
        <w:pStyle w:val="13"/>
        <w:adjustRightInd w:val="0"/>
        <w:snapToGrid w:val="0"/>
        <w:spacing w:line="360" w:lineRule="auto"/>
        <w:rPr>
          <w:rFonts w:hint="eastAsia" w:ascii="宋体" w:hAnsi="宋体" w:eastAsia="宋体" w:cs="宋体"/>
          <w:color w:val="auto"/>
          <w:sz w:val="24"/>
          <w:szCs w:val="24"/>
        </w:rPr>
      </w:pPr>
    </w:p>
    <w:p>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3"/>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pPr>
        <w:pStyle w:val="2"/>
        <w:numPr>
          <w:ilvl w:val="0"/>
          <w:numId w:val="2"/>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pPr>
        <w:pStyle w:val="14"/>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8849"/>
      <w:bookmarkStart w:id="5" w:name="_Toc27763"/>
      <w:bookmarkStart w:id="6" w:name="_Toc26663"/>
      <w:bookmarkStart w:id="7" w:name="_Toc6320"/>
      <w:bookmarkStart w:id="8" w:name="_Toc25914"/>
      <w:bookmarkStart w:id="9" w:name="_Toc12194"/>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2"/>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2"/>
        <w:widowControl/>
        <w:ind w:firstLine="0"/>
        <w:rPr>
          <w:rFonts w:hint="eastAsia" w:ascii="宋体" w:hAnsi="宋体" w:eastAsia="宋体" w:cs="宋体"/>
          <w:color w:val="auto"/>
          <w:sz w:val="24"/>
          <w:szCs w:val="24"/>
        </w:rPr>
      </w:pPr>
    </w:p>
    <w:p>
      <w:pPr>
        <w:pStyle w:val="2"/>
        <w:numPr>
          <w:ilvl w:val="0"/>
          <w:numId w:val="0"/>
        </w:numPr>
        <w:jc w:val="both"/>
        <w:rPr>
          <w:rFonts w:hint="eastAsia"/>
          <w:lang w:val="en-US" w:eastAsia="zh-CN"/>
        </w:rPr>
      </w:pPr>
    </w:p>
    <w:p>
      <w:pPr>
        <w:pStyle w:val="2"/>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26397"/>
      <w:bookmarkStart w:id="11" w:name="_Toc8907"/>
      <w:bookmarkStart w:id="12" w:name="_Toc24071"/>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4"/>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4"/>
        <w:ind w:firstLine="0" w:firstLineChars="0"/>
        <w:rPr>
          <w:rFonts w:hint="eastAsia" w:ascii="宋体" w:hAnsi="宋体" w:eastAsia="宋体" w:cs="宋体"/>
          <w:color w:val="auto"/>
          <w:sz w:val="24"/>
          <w:szCs w:val="24"/>
        </w:rPr>
      </w:pPr>
    </w:p>
    <w:p>
      <w:pPr>
        <w:pStyle w:val="13"/>
        <w:adjustRightInd w:val="0"/>
        <w:snapToGrid w:val="0"/>
        <w:spacing w:line="360" w:lineRule="auto"/>
        <w:rPr>
          <w:rFonts w:hint="eastAsia" w:ascii="宋体" w:hAnsi="宋体" w:eastAsia="宋体" w:cs="宋体"/>
          <w:color w:val="auto"/>
          <w:sz w:val="24"/>
          <w:szCs w:val="24"/>
        </w:rPr>
      </w:pPr>
    </w:p>
    <w:p>
      <w:pPr>
        <w:pStyle w:val="13"/>
        <w:adjustRightInd w:val="0"/>
        <w:snapToGrid w:val="0"/>
        <w:spacing w:line="360" w:lineRule="auto"/>
        <w:rPr>
          <w:rFonts w:hint="eastAsia" w:ascii="宋体" w:hAnsi="宋体" w:eastAsia="宋体" w:cs="宋体"/>
          <w:color w:val="auto"/>
          <w:sz w:val="24"/>
          <w:szCs w:val="24"/>
        </w:rPr>
      </w:pPr>
    </w:p>
    <w:p>
      <w:pPr>
        <w:pStyle w:val="13"/>
        <w:adjustRightInd w:val="0"/>
        <w:snapToGrid w:val="0"/>
        <w:spacing w:line="360" w:lineRule="auto"/>
        <w:rPr>
          <w:rFonts w:hint="eastAsia" w:ascii="宋体" w:hAnsi="宋体" w:eastAsia="宋体" w:cs="宋体"/>
          <w:color w:val="auto"/>
          <w:sz w:val="24"/>
          <w:szCs w:val="24"/>
        </w:rPr>
      </w:pPr>
    </w:p>
    <w:p>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3"/>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3"/>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pPr>
        <w:pStyle w:val="3"/>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pPr>
        <w:pStyle w:val="2"/>
        <w:ind w:left="0" w:leftChars="0" w:firstLine="0" w:firstLineChars="0"/>
        <w:jc w:val="both"/>
        <w:rPr>
          <w:rFonts w:hint="eastAsia" w:ascii="宋体" w:hAnsi="宋体" w:eastAsia="宋体" w:cs="宋体"/>
          <w:sz w:val="24"/>
          <w:szCs w:val="24"/>
          <w:lang w:val="en-US" w:eastAsia="zh-CN"/>
        </w:rPr>
      </w:pPr>
    </w:p>
    <w:p>
      <w:pPr>
        <w:rPr>
          <w:rFonts w:hint="eastAsia"/>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rPr>
          <w:rFonts w:hint="default"/>
          <w:lang w:val="en-US" w:eastAsia="zh-CN"/>
        </w:rPr>
      </w:pPr>
    </w:p>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E5CBE8C2"/>
    <w:multiLevelType w:val="singleLevel"/>
    <w:tmpl w:val="E5CBE8C2"/>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4AB44EF"/>
    <w:rsid w:val="1DDD6FCB"/>
    <w:rsid w:val="328F2A57"/>
    <w:rsid w:val="48711144"/>
    <w:rsid w:val="48DD6EFD"/>
    <w:rsid w:val="524763D0"/>
    <w:rsid w:val="59CE44C9"/>
    <w:rsid w:val="62392F01"/>
    <w:rsid w:val="6B8F6694"/>
    <w:rsid w:val="79584E1A"/>
    <w:rsid w:val="7C820D0D"/>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4">
    <w:name w:val="Body Text"/>
    <w:basedOn w:val="1"/>
    <w:next w:val="5"/>
    <w:qFormat/>
    <w:uiPriority w:val="0"/>
    <w:rPr>
      <w:sz w:val="44"/>
    </w:rPr>
  </w:style>
  <w:style w:type="paragraph" w:styleId="5">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
    <w:name w:val="表格文字"/>
    <w:basedOn w:val="1"/>
    <w:qFormat/>
    <w:uiPriority w:val="0"/>
    <w:pPr>
      <w:jc w:val="left"/>
    </w:pPr>
    <w:rPr>
      <w:rFonts w:ascii="Times New Roman" w:hAnsi="Times New Roman" w:eastAsia="宋体" w:cs="Times New Roman"/>
      <w:sz w:val="18"/>
      <w:szCs w:val="24"/>
    </w:rPr>
  </w:style>
  <w:style w:type="paragraph" w:customStyle="1" w:styleId="12">
    <w:name w:val="正文缩进1"/>
    <w:basedOn w:val="1"/>
    <w:qFormat/>
    <w:uiPriority w:val="0"/>
    <w:pPr>
      <w:ind w:firstLine="420"/>
    </w:pPr>
    <w:rPr>
      <w:rFonts w:ascii="Calibri" w:hAnsi="Calibri" w:cs="黑体"/>
    </w:rPr>
  </w:style>
  <w:style w:type="paragraph" w:customStyle="1" w:styleId="13">
    <w:name w:val="纯文本1"/>
    <w:basedOn w:val="1"/>
    <w:qFormat/>
    <w:uiPriority w:val="0"/>
    <w:rPr>
      <w:rFonts w:ascii="宋体" w:hAnsi="Courier New" w:cs="Courier New"/>
      <w:szCs w:val="21"/>
    </w:rPr>
  </w:style>
  <w:style w:type="paragraph" w:customStyle="1" w:styleId="14">
    <w:name w:val="Normal Indent"/>
    <w:basedOn w:val="1"/>
    <w:qFormat/>
    <w:uiPriority w:val="0"/>
    <w:pPr>
      <w:widowControl/>
      <w:ind w:firstLine="420" w:firstLineChars="200"/>
    </w:pPr>
    <w:rPr>
      <w:rFonts w:ascii="Calibri" w:hAnsi="Calibri" w:cs="黑体"/>
      <w:sz w:val="20"/>
      <w:szCs w:val="20"/>
    </w:rPr>
  </w:style>
  <w:style w:type="character" w:customStyle="1" w:styleId="15">
    <w:name w:val="font11"/>
    <w:basedOn w:val="10"/>
    <w:qFormat/>
    <w:uiPriority w:val="0"/>
    <w:rPr>
      <w:rFonts w:hint="default" w:ascii="Calibri" w:hAnsi="Calibri" w:cs="Calibri"/>
      <w:color w:val="000000"/>
      <w:sz w:val="22"/>
      <w:szCs w:val="22"/>
      <w:u w:val="none"/>
    </w:rPr>
  </w:style>
  <w:style w:type="character" w:customStyle="1" w:styleId="16">
    <w:name w:val="font0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62</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2025-10-15T07:54:17Z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