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ind w:left="0" w:leftChars="0" w:firstLine="0" w:firstLineChars="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w:t>
      </w:r>
    </w:p>
    <w:tbl>
      <w:tblPr>
        <w:tblStyle w:val="8"/>
        <w:tblW w:w="8937" w:type="dxa"/>
        <w:tblInd w:w="0" w:type="dxa"/>
        <w:shd w:val="clear" w:color="auto" w:fill="auto"/>
        <w:tblLayout w:type="fixed"/>
        <w:tblCellMar>
          <w:top w:w="0" w:type="dxa"/>
          <w:left w:w="0" w:type="dxa"/>
          <w:bottom w:w="0" w:type="dxa"/>
          <w:right w:w="0" w:type="dxa"/>
        </w:tblCellMar>
      </w:tblPr>
      <w:tblGrid>
        <w:gridCol w:w="615"/>
        <w:gridCol w:w="3208"/>
        <w:gridCol w:w="1869"/>
        <w:gridCol w:w="1459"/>
        <w:gridCol w:w="1786"/>
      </w:tblGrid>
      <w:tr>
        <w:tblPrEx>
          <w:shd w:val="clear" w:color="auto" w:fill="auto"/>
          <w:tblLayout w:type="fixed"/>
          <w:tblCellMar>
            <w:top w:w="0" w:type="dxa"/>
            <w:left w:w="0" w:type="dxa"/>
            <w:bottom w:w="0" w:type="dxa"/>
            <w:right w:w="0" w:type="dxa"/>
          </w:tblCellMar>
        </w:tblPrEx>
        <w:trPr>
          <w:trHeight w:val="560" w:hRule="atLeast"/>
        </w:trPr>
        <w:tc>
          <w:tcPr>
            <w:tcW w:w="8937"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8"/>
                <w:szCs w:val="28"/>
                <w:u w:val="none"/>
                <w:lang w:val="en-US"/>
              </w:rPr>
            </w:pPr>
            <w:r>
              <w:rPr>
                <w:rFonts w:hint="eastAsia" w:ascii="宋体" w:hAnsi="宋体" w:eastAsia="宋体" w:cs="宋体"/>
                <w:b/>
                <w:bCs/>
                <w:i w:val="0"/>
                <w:color w:val="000000"/>
                <w:kern w:val="0"/>
                <w:sz w:val="28"/>
                <w:szCs w:val="28"/>
                <w:u w:val="none"/>
                <w:lang w:val="en-US" w:eastAsia="zh-CN" w:bidi="ar"/>
              </w:rPr>
              <w:t>阴道分泌物检测仪</w:t>
            </w:r>
            <w:r>
              <w:rPr>
                <w:rFonts w:hint="eastAsia" w:ascii="宋体" w:hAnsi="宋体" w:cs="宋体"/>
                <w:b/>
                <w:bCs/>
                <w:i w:val="0"/>
                <w:color w:val="000000"/>
                <w:kern w:val="0"/>
                <w:sz w:val="28"/>
                <w:szCs w:val="28"/>
                <w:u w:val="none"/>
                <w:lang w:val="en-US" w:eastAsia="zh-CN" w:bidi="ar"/>
              </w:rPr>
              <w:t>参数</w:t>
            </w:r>
            <w:bookmarkStart w:id="16" w:name="_GoBack"/>
            <w:bookmarkEnd w:id="16"/>
          </w:p>
        </w:tc>
      </w:tr>
      <w:tr>
        <w:tblPrEx>
          <w:tblLayout w:type="fixed"/>
          <w:tblCellMar>
            <w:top w:w="0" w:type="dxa"/>
            <w:left w:w="0" w:type="dxa"/>
            <w:bottom w:w="0" w:type="dxa"/>
            <w:right w:w="0" w:type="dxa"/>
          </w:tblCellMar>
        </w:tblPrEx>
        <w:trPr>
          <w:trHeight w:val="96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参数内容</w:t>
            </w:r>
          </w:p>
        </w:tc>
        <w:tc>
          <w:tcPr>
            <w:tcW w:w="18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是否为符合性条款（双星号条款）</w:t>
            </w:r>
          </w:p>
        </w:tc>
        <w:tc>
          <w:tcPr>
            <w:tcW w:w="14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是否为核心条款（星号条款）</w:t>
            </w:r>
          </w:p>
        </w:tc>
        <w:tc>
          <w:tcPr>
            <w:tcW w:w="178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制定理由</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（符合性条款和核心条款必须说明制定理由）</w:t>
            </w:r>
          </w:p>
        </w:tc>
      </w:tr>
      <w:tr>
        <w:tblPrEx>
          <w:tblLayout w:type="fixed"/>
          <w:tblCellMar>
            <w:top w:w="0" w:type="dxa"/>
            <w:left w:w="0" w:type="dxa"/>
            <w:bottom w:w="0" w:type="dxa"/>
            <w:right w:w="0" w:type="dxa"/>
          </w:tblCellMar>
        </w:tblPrEx>
        <w:trPr>
          <w:trHeight w:val="779"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**全流程全自动化智能化检测，无需人工干预</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80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**显微镜检法（金标准）</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833"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*动态聚焦扫描层数：≥3层</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微软雅黑" w:hAnsi="微软雅黑" w:eastAsia="微软雅黑" w:cs="微软雅黑"/>
                <w:i w:val="0"/>
                <w:color w:val="000000"/>
                <w:sz w:val="18"/>
                <w:szCs w:val="18"/>
                <w:u w:val="none"/>
              </w:rPr>
            </w:pPr>
          </w:p>
        </w:tc>
      </w:tr>
      <w:tr>
        <w:tblPrEx>
          <w:tblLayout w:type="fixed"/>
          <w:tblCellMar>
            <w:top w:w="0" w:type="dxa"/>
            <w:left w:w="0" w:type="dxa"/>
            <w:bottom w:w="0" w:type="dxa"/>
            <w:right w:w="0" w:type="dxa"/>
          </w:tblCellMar>
        </w:tblPrEx>
        <w:trPr>
          <w:trHeight w:val="1498"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**支持棉签上机；设备可完成自动识别样本、自动注加稀释液、自动洗脱样本、自动传送样本等操作</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696"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*根据客户需求可选配染色功能</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686"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*“镜检+干化学”一次性集成芯片，杜绝样本交叉污染</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779"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*自动检测样本浊度，高浓度样本自动稀释</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1091"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*高倍镜下拍摄视频，并在视频中对滴虫等动态细胞进行检测，视频时长：≥5s</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1019"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检测仪自动分析判读样本中的成分，与人工判读结果相对偏差在±10%范围内</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816"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检测仪应能检出浓度水平为5个/HP的红细胞、白细胞和霉菌样本</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15"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**最高检测速度应不低于90个/小时</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459"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eastAsia" w:ascii="微软雅黑" w:hAnsi="微软雅黑" w:eastAsia="微软雅黑" w:cs="微软雅黑"/>
                <w:i w:val="0"/>
                <w:color w:val="000000"/>
                <w:sz w:val="18"/>
                <w:szCs w:val="18"/>
                <w:u w:val="none"/>
              </w:rPr>
            </w:pPr>
            <w:r>
              <w:rPr>
                <w:rFonts w:hint="eastAsia" w:ascii="微软雅黑" w:hAnsi="微软雅黑" w:eastAsia="微软雅黑" w:cs="微软雅黑"/>
                <w:i w:val="0"/>
                <w:color w:val="000000"/>
                <w:kern w:val="0"/>
                <w:sz w:val="18"/>
                <w:szCs w:val="18"/>
                <w:u w:val="none"/>
                <w:lang w:val="en-US" w:eastAsia="zh-CN" w:bidi="ar"/>
              </w:rPr>
              <w:t>项目需求</w:t>
            </w:r>
          </w:p>
        </w:tc>
      </w:tr>
      <w:tr>
        <w:tblPrEx>
          <w:tblLayout w:type="fixed"/>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弹夹式卡仓：20/30/60人份；支持最大装载量为120人份</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711"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一机多用，可兼容形态学/形态学+干化学等多种检测模式</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自动识别上皮细胞、白细胞、杆菌、霉菌等有形成分</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8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检测分泌物的脯氨酸氨基肽酶（PIP）、唾液酸苷酶（SNA）、白细胞酯酶（LE）、β-N-乙酰氨基葡萄糖苷酶（NAG）、过氧化氢（H2O2）浓度及分泌物pH</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仪器依据《全国临床检验操作规程》中清洁度判定表对样本清洁度进行判定，并可根据客户需求增加其他形态学指标联合进行清洁度的判定，增加结果的可靠性和准确性</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可根据样本中细胞类别，集中汇总查看，针对想复核的细胞可双击回到原始图片进行复核</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高倍视野（物镜40倍）下拍摄10个视野，用户可自定义视野个数</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用户可自定义复检规则</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2136"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软件具有定义自动审核标准与人工审核的功能，软件具有患者资料输入、编辑、查询和存档等功能，软件具有对报告存储、查询、回顾性浏览和打印的功能，软件具有质控管理、系统设置等功能</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2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卡仓空报警提醒，废卡仓满报警提醒，清洗液瓶空报警提醒，废液瓶满报警提醒</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1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形态学与干化学综合报告（可联合显微镜检结果和干化学检查结果对生殖微生态状况进行评价）、图文并茂（可提供染色后图片），用户可自定义</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废卡仓配有一次性专用废卡袋，保证生物安全性</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试剂封闭管理，保证测试结果的可靠性</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基于MySql数据库进行数据存储</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外接RS232、USB接口，可以与医院计算机网络、LIS系统连接</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产品保修1年，终身维护</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62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专用样本管；试管配备了专用的试管帽，可防止异味挥发、使操作更加安全可靠</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全中文可个性化定制界面，操作极其简便</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30</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000000"/>
                <w:kern w:val="0"/>
                <w:sz w:val="22"/>
                <w:szCs w:val="22"/>
                <w:u w:val="none"/>
                <w:lang w:val="en-US" w:eastAsia="zh-CN" w:bidi="ar"/>
              </w:rPr>
            </w:pPr>
            <w:r>
              <w:rPr>
                <w:rFonts w:hint="eastAsia" w:ascii="仿宋_GB2312" w:hAnsi="宋体" w:eastAsia="仿宋_GB2312" w:cs="仿宋_GB2312"/>
                <w:i w:val="0"/>
                <w:color w:val="000000"/>
                <w:kern w:val="0"/>
                <w:sz w:val="22"/>
                <w:szCs w:val="22"/>
                <w:u w:val="none"/>
                <w:lang w:val="en-US" w:eastAsia="zh-CN" w:bidi="ar"/>
              </w:rPr>
              <w:t>如需特殊实验台面，安装电脑桌面供应商提供</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4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LIS系统的连接，汲及相关费用由供应商与LIS公司商谈，供应商承担。</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10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装机前供应商确认仪器安装环境要求是否达标，因安装环境的特殊要求不能满足，无法保证设备正常运行的，供应商负责。</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98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3208"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仿宋_GB2312" w:hAnsi="宋体" w:eastAsia="仿宋_GB2312" w:cs="仿宋_GB2312"/>
                <w:i w:val="0"/>
                <w:color w:val="000000"/>
                <w:sz w:val="22"/>
                <w:szCs w:val="22"/>
                <w:u w:val="none"/>
              </w:rPr>
            </w:pPr>
            <w:r>
              <w:rPr>
                <w:rFonts w:hint="eastAsia" w:ascii="仿宋_GB2312" w:hAnsi="宋体" w:eastAsia="仿宋_GB2312" w:cs="仿宋_GB2312"/>
                <w:i w:val="0"/>
                <w:color w:val="000000"/>
                <w:kern w:val="0"/>
                <w:sz w:val="22"/>
                <w:szCs w:val="22"/>
                <w:u w:val="none"/>
                <w:lang w:val="en-US" w:eastAsia="zh-CN" w:bidi="ar"/>
              </w:rPr>
              <w:t>装机时提供各类实验项目试机试剂耗材不低于50人次</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报告打印：打印机一台</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LIS连接电脑1套装</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00" w:hRule="atLeast"/>
        </w:trPr>
        <w:tc>
          <w:tcPr>
            <w:tcW w:w="6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32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样本采样试管500只</w:t>
            </w:r>
          </w:p>
        </w:tc>
        <w:tc>
          <w:tcPr>
            <w:tcW w:w="18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2"/>
                <w:szCs w:val="22"/>
                <w:u w:val="none"/>
              </w:rPr>
            </w:pPr>
          </w:p>
        </w:tc>
      </w:tr>
    </w:tbl>
    <w:p>
      <w:pPr>
        <w:pStyle w:val="6"/>
        <w:rPr>
          <w:rFonts w:hint="eastAsia" w:ascii="黑体" w:hAnsi="黑体" w:eastAsia="黑体" w:cs="黑体"/>
          <w:b w:val="0"/>
          <w:bCs w:val="0"/>
          <w:color w:val="auto"/>
          <w:sz w:val="32"/>
          <w:szCs w:val="32"/>
          <w:lang w:val="en-US" w:eastAsia="zh-CN"/>
        </w:rPr>
      </w:pPr>
    </w:p>
    <w:p>
      <w:pPr>
        <w:pStyle w:val="5"/>
        <w:bidi w:val="0"/>
        <w:ind w:left="0" w:leftChars="0" w:firstLine="0" w:firstLineChars="0"/>
        <w:rPr>
          <w:rFonts w:hint="eastAsia" w:ascii="黑体" w:hAnsi="黑体" w:eastAsia="黑体" w:cs="黑体"/>
          <w:b w:val="0"/>
          <w:bCs w:val="0"/>
          <w:sz w:val="32"/>
          <w:szCs w:val="32"/>
          <w:lang w:val="en-US" w:eastAsia="zh-CN"/>
        </w:rPr>
      </w:pPr>
    </w:p>
    <w:p>
      <w:pPr>
        <w:pStyle w:val="5"/>
        <w:bidi w:val="0"/>
        <w:ind w:left="0" w:leftChars="0" w:firstLine="0" w:firstLineChars="0"/>
        <w:rPr>
          <w:rFonts w:hint="eastAsia" w:ascii="黑体" w:hAnsi="黑体" w:eastAsia="黑体" w:cs="黑体"/>
          <w:b w:val="0"/>
          <w:bCs w:val="0"/>
          <w:sz w:val="32"/>
          <w:szCs w:val="32"/>
          <w:lang w:val="en-US" w:eastAsia="zh-CN"/>
        </w:rPr>
      </w:pPr>
    </w:p>
    <w:p>
      <w:pPr>
        <w:pStyle w:val="5"/>
        <w:bidi w:val="0"/>
        <w:ind w:left="0" w:leftChars="0" w:firstLine="0" w:firstLineChars="0"/>
        <w:rPr>
          <w:rFonts w:hint="eastAsia" w:ascii="黑体" w:hAnsi="黑体" w:eastAsia="黑体" w:cs="黑体"/>
          <w:b w:val="0"/>
          <w:bCs w:val="0"/>
          <w:sz w:val="32"/>
          <w:szCs w:val="32"/>
          <w:lang w:val="en-US" w:eastAsia="zh-CN"/>
        </w:rPr>
      </w:pPr>
    </w:p>
    <w:p>
      <w:pPr>
        <w:pStyle w:val="5"/>
        <w:bidi w:val="0"/>
        <w:ind w:left="0" w:leftChars="0" w:firstLine="0" w:firstLineChars="0"/>
        <w:rPr>
          <w:rFonts w:hint="eastAsia" w:ascii="黑体" w:hAnsi="黑体" w:eastAsia="黑体" w:cs="黑体"/>
          <w:b w:val="0"/>
          <w:bCs w:val="0"/>
          <w:sz w:val="32"/>
          <w:szCs w:val="32"/>
          <w:lang w:val="en-US" w:eastAsia="zh-CN"/>
        </w:rPr>
      </w:pPr>
    </w:p>
    <w:p>
      <w:pPr>
        <w:pStyle w:val="5"/>
        <w:bidi w:val="0"/>
        <w:ind w:left="0" w:leftChars="0" w:firstLine="0" w:firstLineChars="0"/>
        <w:rPr>
          <w:rFonts w:hint="eastAsia" w:ascii="黑体" w:hAnsi="黑体" w:eastAsia="黑体" w:cs="黑体"/>
          <w:b w:val="0"/>
          <w:bCs w:val="0"/>
          <w:sz w:val="32"/>
          <w:szCs w:val="32"/>
          <w:lang w:val="en-US" w:eastAsia="zh-CN"/>
        </w:rPr>
      </w:pPr>
    </w:p>
    <w:p>
      <w:pPr>
        <w:pStyle w:val="5"/>
        <w:bidi w:val="0"/>
        <w:ind w:left="0" w:leftChars="0" w:firstLine="0" w:firstLineChars="0"/>
        <w:rPr>
          <w:rFonts w:hint="eastAsia" w:ascii="黑体" w:hAnsi="黑体" w:eastAsia="黑体" w:cs="黑体"/>
          <w:b w:val="0"/>
          <w:bCs w:val="0"/>
          <w:sz w:val="32"/>
          <w:szCs w:val="32"/>
          <w:lang w:val="en-US" w:eastAsia="zh-CN"/>
        </w:rPr>
      </w:pPr>
    </w:p>
    <w:p>
      <w:pPr>
        <w:pStyle w:val="5"/>
        <w:bidi w:val="0"/>
        <w:ind w:left="0" w:leftChars="0" w:firstLine="0" w:firstLineChars="0"/>
        <w:rPr>
          <w:rFonts w:hint="eastAsia" w:ascii="黑体" w:hAnsi="黑体" w:eastAsia="黑体" w:cs="黑体"/>
          <w:b w:val="0"/>
          <w:bCs w:val="0"/>
          <w:sz w:val="32"/>
          <w:szCs w:val="32"/>
          <w:lang w:val="en-US" w:eastAsia="zh-CN"/>
        </w:rPr>
      </w:pPr>
    </w:p>
    <w:p>
      <w:pPr>
        <w:pStyle w:val="5"/>
        <w:bidi w:val="0"/>
        <w:ind w:left="0" w:leftChars="0" w:firstLine="0" w:firstLineChars="0"/>
        <w:rPr>
          <w:rFonts w:hint="eastAsia" w:ascii="黑体" w:hAnsi="黑体" w:eastAsia="黑体" w:cs="黑体"/>
          <w:b w:val="0"/>
          <w:bCs w:val="0"/>
          <w:sz w:val="32"/>
          <w:szCs w:val="32"/>
          <w:lang w:val="en-US" w:eastAsia="zh-CN"/>
        </w:rPr>
      </w:pPr>
    </w:p>
    <w:p>
      <w:pPr>
        <w:pStyle w:val="5"/>
        <w:bidi w:val="0"/>
        <w:ind w:left="0" w:leftChars="0" w:firstLine="0" w:firstLineChars="0"/>
        <w:rPr>
          <w:rFonts w:hint="eastAsia" w:ascii="黑体" w:hAnsi="黑体" w:eastAsia="黑体" w:cs="黑体"/>
          <w:sz w:val="32"/>
          <w:szCs w:val="32"/>
          <w:lang w:val="en-US" w:eastAsia="zh-CN"/>
        </w:rPr>
      </w:pP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kern w:val="2"/>
          <w:sz w:val="32"/>
          <w:szCs w:val="32"/>
          <w:lang w:val="en-US" w:eastAsia="zh-CN" w:bidi="ar-SA"/>
        </w:rPr>
        <w:t>评审办法（综合评分法）</w:t>
      </w:r>
    </w:p>
    <w:tbl>
      <w:tblPr>
        <w:tblStyle w:val="9"/>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641"/>
        <w:gridCol w:w="1537"/>
        <w:gridCol w:w="5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5" w:hRule="atLeast"/>
        </w:trPr>
        <w:tc>
          <w:tcPr>
            <w:tcW w:w="9120"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8"/>
                <w:szCs w:val="28"/>
                <w:vertAlign w:val="baseline"/>
                <w:lang w:val="en-US" w:eastAsia="zh-CN"/>
              </w:rPr>
            </w:pPr>
            <w:r>
              <w:rPr>
                <w:rFonts w:hint="eastAsia" w:ascii="宋体" w:hAnsi="宋体" w:eastAsia="宋体" w:cs="宋体"/>
                <w:b/>
                <w:bCs/>
                <w:color w:val="auto"/>
                <w:sz w:val="24"/>
                <w:szCs w:val="24"/>
                <w:highlight w:val="none"/>
              </w:rPr>
              <w:t>综合评分法：</w:t>
            </w:r>
            <w:r>
              <w:rPr>
                <w:rFonts w:hint="eastAsia" w:ascii="宋体" w:hAnsi="宋体" w:eastAsia="宋体" w:cs="宋体"/>
                <w:color w:val="auto"/>
                <w:sz w:val="24"/>
                <w:szCs w:val="24"/>
                <w:highlight w:val="none"/>
              </w:rPr>
              <w:t>是指</w:t>
            </w:r>
            <w:r>
              <w:rPr>
                <w:rFonts w:hint="eastAsia" w:ascii="宋体" w:hAnsi="宋体" w:eastAsia="宋体" w:cs="宋体"/>
                <w:color w:val="auto"/>
                <w:sz w:val="24"/>
                <w:szCs w:val="24"/>
                <w:highlight w:val="none"/>
                <w:lang w:eastAsia="zh-CN"/>
              </w:rPr>
              <w:t>申请文件</w:t>
            </w:r>
            <w:r>
              <w:rPr>
                <w:rFonts w:hint="eastAsia"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val="en-US" w:eastAsia="zh-CN"/>
              </w:rPr>
              <w:t>院内议价</w:t>
            </w:r>
            <w:r>
              <w:rPr>
                <w:rFonts w:hint="eastAsia" w:ascii="宋体" w:hAnsi="宋体" w:eastAsia="宋体" w:cs="宋体"/>
                <w:color w:val="auto"/>
                <w:sz w:val="24"/>
                <w:szCs w:val="24"/>
                <w:highlight w:val="none"/>
                <w:lang w:eastAsia="zh-CN"/>
              </w:rPr>
              <w:t>文件</w:t>
            </w:r>
            <w:r>
              <w:rPr>
                <w:rFonts w:hint="eastAsia" w:ascii="宋体" w:hAnsi="宋体" w:eastAsia="宋体" w:cs="宋体"/>
                <w:color w:val="auto"/>
                <w:sz w:val="24"/>
                <w:szCs w:val="24"/>
                <w:highlight w:val="none"/>
              </w:rPr>
              <w:t>全部实质性要求且按评审因素的量化指标评审得分最高的</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为成交候选</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的评审方法。本项目评审细则详见下表。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trPr>
        <w:tc>
          <w:tcPr>
            <w:tcW w:w="9120" w:type="dxa"/>
            <w:gridSpan w:val="4"/>
            <w:noWrap w:val="0"/>
            <w:vAlign w:val="top"/>
          </w:tcPr>
          <w:p>
            <w:pPr>
              <w:pStyle w:val="5"/>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vertAlign w:val="baseline"/>
                <w:lang w:val="en-US" w:eastAsia="zh-CN"/>
              </w:rPr>
              <w:t>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10" w:hRule="atLeast"/>
        </w:trPr>
        <w:tc>
          <w:tcPr>
            <w:tcW w:w="9120"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分值构成：</w:t>
            </w:r>
          </w:p>
          <w:p>
            <w:pPr>
              <w:pStyle w:val="5"/>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总分：100分</w:t>
            </w:r>
          </w:p>
          <w:p>
            <w:pPr>
              <w:pStyle w:val="6"/>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报价部分：30分</w:t>
            </w:r>
          </w:p>
          <w:p>
            <w:pPr>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技术部分：60分</w:t>
            </w:r>
          </w:p>
          <w:p>
            <w:pPr>
              <w:pStyle w:val="5"/>
              <w:ind w:left="0" w:leftChars="0" w:firstLine="0" w:firstLineChars="0"/>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商务部分：10分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832" w:type="dxa"/>
            <w:noWrap w:val="0"/>
            <w:vAlign w:val="top"/>
          </w:tcPr>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1641" w:type="dxa"/>
            <w:noWrap w:val="0"/>
            <w:vAlign w:val="top"/>
          </w:tcPr>
          <w:p>
            <w:pPr>
              <w:pStyle w:val="5"/>
              <w:ind w:firstLine="240" w:firstLineChars="10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分值</w:t>
            </w:r>
          </w:p>
        </w:tc>
        <w:tc>
          <w:tcPr>
            <w:tcW w:w="1537" w:type="dxa"/>
            <w:noWrap w:val="0"/>
            <w:vAlign w:val="top"/>
          </w:tcPr>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评分因素</w:t>
            </w:r>
          </w:p>
        </w:tc>
        <w:tc>
          <w:tcPr>
            <w:tcW w:w="5110" w:type="dxa"/>
            <w:noWrap w:val="0"/>
            <w:vAlign w:val="top"/>
          </w:tcPr>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9" w:hRule="atLeast"/>
        </w:trPr>
        <w:tc>
          <w:tcPr>
            <w:tcW w:w="832" w:type="dxa"/>
            <w:noWrap w:val="0"/>
            <w:vAlign w:val="top"/>
          </w:tcPr>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1641" w:type="dxa"/>
            <w:noWrap w:val="0"/>
            <w:vAlign w:val="top"/>
          </w:tcPr>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报价部分</w:t>
            </w: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（30分）</w:t>
            </w:r>
          </w:p>
        </w:tc>
        <w:tc>
          <w:tcPr>
            <w:tcW w:w="1537" w:type="dxa"/>
            <w:noWrap w:val="0"/>
            <w:vAlign w:val="center"/>
          </w:tcPr>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投标报价</w:t>
            </w:r>
          </w:p>
        </w:tc>
        <w:tc>
          <w:tcPr>
            <w:tcW w:w="5110" w:type="dxa"/>
            <w:noWrap w:val="0"/>
            <w:vAlign w:val="top"/>
          </w:tcPr>
          <w:p>
            <w:pPr>
              <w:pStyle w:val="5"/>
              <w:ind w:left="0" w:leftChars="0" w:firstLine="0" w:firstLineChars="0"/>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
              </w:rPr>
              <w:t>满足院内议价文件要求且价格最低的供应商报价为评标基准价，其价格分为满分。其他供应商的价格分统一按照公式计算：</w:t>
            </w:r>
            <w:bookmarkStart w:id="0" w:name="OLE_LINK7"/>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报价得分=（</w:t>
            </w:r>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基准价/最后</w:t>
            </w:r>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报价）×</w:t>
            </w:r>
            <w:bookmarkEnd w:id="0"/>
            <w:r>
              <w:rPr>
                <w:rFonts w:hint="eastAsia" w:asciiTheme="minorEastAsia" w:hAnsiTheme="minorEastAsia" w:eastAsiaTheme="minorEastAsia" w:cstheme="minorEastAsia"/>
                <w:color w:val="auto"/>
                <w:sz w:val="24"/>
                <w:szCs w:val="24"/>
                <w:lang w:val="en-US" w:eastAsia="zh-CN"/>
              </w:rPr>
              <w:t>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12" w:hRule="atLeast"/>
        </w:trPr>
        <w:tc>
          <w:tcPr>
            <w:tcW w:w="832" w:type="dxa"/>
            <w:vMerge w:val="restart"/>
            <w:noWrap w:val="0"/>
            <w:vAlign w:val="top"/>
          </w:tcPr>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p>
            <w:pPr>
              <w:pStyle w:val="5"/>
              <w:ind w:left="0" w:leftChars="0" w:firstLine="0" w:firstLineChars="0"/>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641" w:type="dxa"/>
            <w:vMerge w:val="restart"/>
            <w:noWrap w:val="0"/>
            <w:vAlign w:val="top"/>
          </w:tcPr>
          <w:p>
            <w:pPr>
              <w:pStyle w:val="5"/>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p>
          <w:p>
            <w:pPr>
              <w:pStyle w:val="5"/>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p>
          <w:p>
            <w:pPr>
              <w:pStyle w:val="5"/>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p>
          <w:p>
            <w:pPr>
              <w:pStyle w:val="5"/>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p>
          <w:p>
            <w:pPr>
              <w:pStyle w:val="5"/>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p>
          <w:p>
            <w:pPr>
              <w:pStyle w:val="5"/>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技术部分</w:t>
            </w:r>
          </w:p>
          <w:p>
            <w:pPr>
              <w:pStyle w:val="5"/>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（60分）</w:t>
            </w: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537" w:type="dxa"/>
            <w:noWrap w:val="0"/>
            <w:vAlign w:val="center"/>
          </w:tcPr>
          <w:p>
            <w:pPr>
              <w:pStyle w:val="5"/>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功能部分</w:t>
            </w:r>
          </w:p>
          <w:p>
            <w:pPr>
              <w:pStyle w:val="5"/>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（15分）</w:t>
            </w:r>
          </w:p>
        </w:tc>
        <w:tc>
          <w:tcPr>
            <w:tcW w:w="5110" w:type="dxa"/>
            <w:noWrap w:val="0"/>
            <w:vAlign w:val="top"/>
          </w:tcPr>
          <w:p>
            <w:pPr>
              <w:keepNext w:val="0"/>
              <w:keepLines w:val="0"/>
              <w:widowControl/>
              <w:suppressLineNumbers w:val="0"/>
              <w:jc w:val="left"/>
              <w:rPr>
                <w:rFonts w:hint="eastAsia" w:asciiTheme="minorEastAsia" w:hAnsiTheme="minorEastAsia" w:eastAsiaTheme="minorEastAsia" w:cstheme="minorEastAsia"/>
                <w:sz w:val="24"/>
                <w:szCs w:val="24"/>
                <w:lang w:val="en-US" w:eastAsia="zh-CN"/>
              </w:rPr>
            </w:pPr>
            <w:bookmarkStart w:id="1" w:name="OLE_LINK1"/>
            <w:r>
              <w:rPr>
                <w:rFonts w:hint="eastAsia" w:asciiTheme="minorEastAsia" w:hAnsiTheme="minorEastAsia" w:eastAsiaTheme="minorEastAsia" w:cstheme="minorEastAsia"/>
                <w:sz w:val="24"/>
                <w:szCs w:val="24"/>
                <w:lang w:val="en-US" w:eastAsia="zh-CN"/>
              </w:rPr>
              <w:t>第一档次：产品符合规范，质量稳定可靠，安全性完全满足行业规范技术要求，完全满足核心功能要求得15分；</w:t>
            </w:r>
          </w:p>
          <w:p>
            <w:pPr>
              <w:pStyle w:val="2"/>
              <w:rPr>
                <w:rFonts w:hint="eastAsia"/>
              </w:rPr>
            </w:pPr>
          </w:p>
          <w:p>
            <w:pPr>
              <w:widowControl/>
              <w:spacing w:line="38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第二个档次：</w:t>
            </w:r>
            <w:r>
              <w:rPr>
                <w:rFonts w:hint="eastAsia" w:asciiTheme="minorEastAsia" w:hAnsiTheme="minorEastAsia" w:eastAsiaTheme="minorEastAsia" w:cstheme="minorEastAsia"/>
                <w:sz w:val="24"/>
                <w:szCs w:val="24"/>
                <w:lang w:val="en-US" w:eastAsia="zh-CN"/>
              </w:rPr>
              <w:t>产品符合规范，质量稳定可靠，安全性基本满足行业规范技术要求，基本满足核心功能要求得8分</w:t>
            </w:r>
            <w:r>
              <w:rPr>
                <w:rFonts w:hint="eastAsia" w:asciiTheme="minorEastAsia" w:hAnsiTheme="minorEastAsia" w:eastAsiaTheme="minorEastAsia" w:cstheme="minorEastAsia"/>
                <w:sz w:val="24"/>
                <w:szCs w:val="24"/>
              </w:rPr>
              <w:t>；</w:t>
            </w:r>
          </w:p>
          <w:p>
            <w:pPr>
              <w:pStyle w:val="2"/>
              <w:rPr>
                <w:rFonts w:hint="eastAsia"/>
              </w:rPr>
            </w:pPr>
          </w:p>
          <w:p>
            <w:pPr>
              <w:widowControl/>
              <w:spacing w:line="380" w:lineRule="exac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sz w:val="24"/>
                <w:szCs w:val="24"/>
                <w:lang w:val="en-US" w:eastAsia="zh-CN"/>
              </w:rPr>
              <w:t>第三档次：产品质量一般，安全性一般，</w:t>
            </w:r>
            <w:r>
              <w:rPr>
                <w:rFonts w:hint="eastAsia" w:asciiTheme="minorEastAsia" w:hAnsiTheme="minorEastAsia" w:eastAsiaTheme="minorEastAsia" w:cstheme="minorEastAsia"/>
                <w:color w:val="000000"/>
                <w:kern w:val="0"/>
                <w:sz w:val="24"/>
                <w:szCs w:val="24"/>
                <w:lang w:val="en-US" w:eastAsia="zh-CN" w:bidi="ar"/>
              </w:rPr>
              <w:t>基本满足采购公告要求的产品得4分。</w:t>
            </w:r>
          </w:p>
          <w:bookmarkEnd w:id="1"/>
          <w:p>
            <w:pPr>
              <w:keepNext w:val="0"/>
              <w:keepLines w:val="0"/>
              <w:widowControl/>
              <w:suppressLineNumbers w:val="0"/>
              <w:jc w:val="left"/>
              <w:rPr>
                <w:rFonts w:hint="eastAsia" w:asciiTheme="minorEastAsia" w:hAnsiTheme="minorEastAsia" w:eastAsiaTheme="minorEastAsia" w:cstheme="minorEastAsia"/>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5" w:hRule="atLeast"/>
        </w:trPr>
        <w:tc>
          <w:tcPr>
            <w:tcW w:w="832" w:type="dxa"/>
            <w:vMerge w:val="continue"/>
            <w:noWrap w:val="0"/>
            <w:vAlign w:val="top"/>
          </w:tcPr>
          <w:p>
            <w:pPr>
              <w:pStyle w:val="5"/>
              <w:ind w:left="0" w:leftChars="0" w:firstLine="0" w:firstLineChars="0"/>
              <w:rPr>
                <w:rFonts w:hint="eastAsia" w:asciiTheme="minorEastAsia" w:hAnsiTheme="minorEastAsia" w:eastAsiaTheme="minorEastAsia" w:cstheme="minorEastAsia"/>
                <w:sz w:val="24"/>
                <w:szCs w:val="24"/>
                <w:vertAlign w:val="baseline"/>
                <w:lang w:val="en-US" w:eastAsia="zh-CN"/>
              </w:rPr>
            </w:pPr>
          </w:p>
        </w:tc>
        <w:tc>
          <w:tcPr>
            <w:tcW w:w="1641" w:type="dxa"/>
            <w:vMerge w:val="continue"/>
            <w:noWrap w:val="0"/>
            <w:vAlign w:val="top"/>
          </w:tcPr>
          <w:p>
            <w:pPr>
              <w:pStyle w:val="5"/>
              <w:ind w:left="0" w:leftChars="0" w:firstLine="0" w:firstLineChars="0"/>
              <w:rPr>
                <w:rFonts w:hint="eastAsia" w:asciiTheme="minorEastAsia" w:hAnsiTheme="minorEastAsia" w:eastAsiaTheme="minorEastAsia" w:cstheme="minorEastAsia"/>
                <w:sz w:val="24"/>
                <w:szCs w:val="24"/>
                <w:vertAlign w:val="baseline"/>
                <w:lang w:val="en-US" w:eastAsia="zh-CN"/>
              </w:rPr>
            </w:pPr>
          </w:p>
        </w:tc>
        <w:tc>
          <w:tcPr>
            <w:tcW w:w="1537" w:type="dxa"/>
            <w:noWrap w:val="0"/>
            <w:vAlign w:val="center"/>
          </w:tcPr>
          <w:p>
            <w:pPr>
              <w:pStyle w:val="5"/>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性能部分</w:t>
            </w:r>
          </w:p>
          <w:p>
            <w:pPr>
              <w:pStyle w:val="5"/>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（15分）</w:t>
            </w:r>
          </w:p>
        </w:tc>
        <w:tc>
          <w:tcPr>
            <w:tcW w:w="5110" w:type="dxa"/>
            <w:noWrap w:val="0"/>
            <w:vAlign w:val="top"/>
          </w:tcPr>
          <w:p>
            <w:pPr>
              <w:keepNext w:val="0"/>
              <w:keepLines w:val="0"/>
              <w:widowControl/>
              <w:suppressLineNumbers w:val="0"/>
              <w:jc w:val="left"/>
              <w:rPr>
                <w:rFonts w:hint="eastAsia" w:asciiTheme="minorEastAsia" w:hAnsiTheme="minorEastAsia" w:eastAsiaTheme="minorEastAsia" w:cstheme="minorEastAsia"/>
                <w:sz w:val="24"/>
                <w:szCs w:val="24"/>
                <w:lang w:val="en-US" w:eastAsia="zh-CN"/>
              </w:rPr>
            </w:pPr>
            <w:bookmarkStart w:id="2" w:name="OLE_LINK2"/>
            <w:r>
              <w:rPr>
                <w:rFonts w:hint="eastAsia" w:asciiTheme="minorEastAsia" w:hAnsiTheme="minorEastAsia" w:eastAsiaTheme="minorEastAsia" w:cstheme="minorEastAsia"/>
                <w:sz w:val="24"/>
                <w:szCs w:val="24"/>
                <w:lang w:val="en-US" w:eastAsia="zh-CN"/>
              </w:rPr>
              <w:t>第一档次：所投设备</w:t>
            </w:r>
            <w:r>
              <w:rPr>
                <w:rFonts w:hint="eastAsia" w:asciiTheme="minorEastAsia" w:hAnsiTheme="minorEastAsia" w:eastAsiaTheme="minorEastAsia" w:cstheme="minorEastAsia"/>
                <w:b w:val="0"/>
                <w:color w:val="000000"/>
                <w:sz w:val="24"/>
                <w:szCs w:val="24"/>
              </w:rPr>
              <w:t>产品技术参数完全满足</w:t>
            </w:r>
            <w:r>
              <w:rPr>
                <w:rFonts w:hint="eastAsia" w:asciiTheme="minorEastAsia" w:hAnsiTheme="minorEastAsia" w:eastAsiaTheme="minorEastAsia" w:cstheme="minorEastAsia"/>
                <w:b w:val="0"/>
                <w:color w:val="000000"/>
                <w:sz w:val="24"/>
                <w:szCs w:val="24"/>
                <w:lang w:eastAsia="zh-CN"/>
              </w:rPr>
              <w:t>，</w:t>
            </w:r>
            <w:r>
              <w:rPr>
                <w:rFonts w:hint="eastAsia" w:asciiTheme="minorEastAsia" w:hAnsiTheme="minorEastAsia" w:eastAsiaTheme="minorEastAsia" w:cstheme="minorEastAsia"/>
                <w:sz w:val="24"/>
                <w:szCs w:val="24"/>
                <w:lang w:val="en-US" w:eastAsia="zh-CN"/>
              </w:rPr>
              <w:t>检测准确性和精密度较好，检测速度满足常规工作需求，操作便捷得15分；</w:t>
            </w:r>
          </w:p>
          <w:p>
            <w:pPr>
              <w:pStyle w:val="2"/>
              <w:rPr>
                <w:rFonts w:hint="eastAsia"/>
              </w:rPr>
            </w:pPr>
          </w:p>
          <w:p>
            <w:pPr>
              <w:widowControl/>
              <w:spacing w:line="38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第二个档次：</w:t>
            </w:r>
            <w:r>
              <w:rPr>
                <w:rFonts w:hint="eastAsia" w:asciiTheme="minorEastAsia" w:hAnsiTheme="minorEastAsia" w:eastAsiaTheme="minorEastAsia" w:cstheme="minorEastAsia"/>
                <w:sz w:val="24"/>
                <w:szCs w:val="24"/>
                <w:lang w:val="en-US" w:eastAsia="zh-CN"/>
              </w:rPr>
              <w:t>所投设备</w:t>
            </w:r>
            <w:r>
              <w:rPr>
                <w:rFonts w:hint="eastAsia" w:asciiTheme="minorEastAsia" w:hAnsiTheme="minorEastAsia" w:eastAsiaTheme="minorEastAsia" w:cstheme="minorEastAsia"/>
                <w:b w:val="0"/>
                <w:color w:val="000000"/>
                <w:sz w:val="24"/>
                <w:szCs w:val="24"/>
              </w:rPr>
              <w:t>产品技术参数完全满足</w:t>
            </w:r>
            <w:r>
              <w:rPr>
                <w:rFonts w:hint="eastAsia" w:asciiTheme="minorEastAsia" w:hAnsiTheme="minorEastAsia" w:eastAsiaTheme="minorEastAsia" w:cstheme="minorEastAsia"/>
                <w:b w:val="0"/>
                <w:color w:val="000000"/>
                <w:sz w:val="24"/>
                <w:szCs w:val="24"/>
                <w:lang w:eastAsia="zh-CN"/>
              </w:rPr>
              <w:t>，</w:t>
            </w:r>
            <w:r>
              <w:rPr>
                <w:rFonts w:hint="eastAsia" w:asciiTheme="minorEastAsia" w:hAnsiTheme="minorEastAsia" w:eastAsiaTheme="minorEastAsia" w:cstheme="minorEastAsia"/>
                <w:sz w:val="24"/>
                <w:szCs w:val="24"/>
                <w:lang w:val="en-US" w:eastAsia="zh-CN"/>
              </w:rPr>
              <w:t>检测准确性和精密度基本达到要求，检测速度基本满足常规工作需求，操作便捷得8分</w:t>
            </w:r>
            <w:r>
              <w:rPr>
                <w:rFonts w:hint="eastAsia" w:asciiTheme="minorEastAsia" w:hAnsiTheme="minorEastAsia" w:eastAsiaTheme="minorEastAsia" w:cstheme="minorEastAsia"/>
                <w:sz w:val="24"/>
                <w:szCs w:val="24"/>
              </w:rPr>
              <w:t>；</w:t>
            </w:r>
          </w:p>
          <w:p>
            <w:pPr>
              <w:pStyle w:val="2"/>
              <w:rPr>
                <w:rFonts w:hint="eastAsia"/>
              </w:rPr>
            </w:pPr>
          </w:p>
          <w:p>
            <w:pPr>
              <w:widowControl/>
              <w:spacing w:line="380" w:lineRule="exac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z w:val="24"/>
                <w:szCs w:val="24"/>
                <w:lang w:val="en-US" w:eastAsia="zh-CN"/>
              </w:rPr>
              <w:t>第三档次：所投设备</w:t>
            </w:r>
            <w:r>
              <w:rPr>
                <w:rFonts w:hint="eastAsia" w:asciiTheme="minorEastAsia" w:hAnsiTheme="minorEastAsia" w:eastAsiaTheme="minorEastAsia" w:cstheme="minorEastAsia"/>
                <w:b w:val="0"/>
                <w:color w:val="000000"/>
                <w:sz w:val="24"/>
                <w:szCs w:val="24"/>
              </w:rPr>
              <w:t>产品技术参数完全满足</w:t>
            </w:r>
            <w:r>
              <w:rPr>
                <w:rFonts w:hint="eastAsia" w:asciiTheme="minorEastAsia" w:hAnsiTheme="minorEastAsia" w:eastAsiaTheme="minorEastAsia" w:cstheme="minorEastAsia"/>
                <w:b w:val="0"/>
                <w:color w:val="000000"/>
                <w:sz w:val="24"/>
                <w:szCs w:val="24"/>
                <w:lang w:eastAsia="zh-CN"/>
              </w:rPr>
              <w:t>，</w:t>
            </w:r>
            <w:r>
              <w:rPr>
                <w:rFonts w:hint="eastAsia" w:asciiTheme="minorEastAsia" w:hAnsiTheme="minorEastAsia" w:eastAsiaTheme="minorEastAsia" w:cstheme="minorEastAsia"/>
                <w:sz w:val="24"/>
                <w:szCs w:val="24"/>
                <w:lang w:val="en-US" w:eastAsia="zh-CN"/>
              </w:rPr>
              <w:t>检测准确性和精密度较差，检测速度一般，操作不便捷</w:t>
            </w:r>
            <w:r>
              <w:rPr>
                <w:rFonts w:hint="eastAsia" w:asciiTheme="minorEastAsia" w:hAnsiTheme="minorEastAsia" w:eastAsiaTheme="minorEastAsia" w:cstheme="minorEastAsia"/>
                <w:color w:val="000000"/>
                <w:kern w:val="0"/>
                <w:sz w:val="24"/>
                <w:szCs w:val="24"/>
                <w:lang w:val="en-US" w:eastAsia="zh-CN" w:bidi="ar"/>
              </w:rPr>
              <w:t>得2分。</w:t>
            </w:r>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9" w:hRule="atLeast"/>
        </w:trPr>
        <w:tc>
          <w:tcPr>
            <w:tcW w:w="832" w:type="dxa"/>
            <w:vMerge w:val="continue"/>
            <w:noWrap w:val="0"/>
            <w:vAlign w:val="top"/>
          </w:tcPr>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641" w:type="dxa"/>
            <w:vMerge w:val="continue"/>
            <w:noWrap w:val="0"/>
            <w:vAlign w:val="top"/>
          </w:tcPr>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537" w:type="dxa"/>
            <w:noWrap w:val="0"/>
            <w:vAlign w:val="center"/>
          </w:tcPr>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耗材部分</w:t>
            </w: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（30分）</w:t>
            </w:r>
          </w:p>
        </w:tc>
        <w:tc>
          <w:tcPr>
            <w:tcW w:w="5110" w:type="dxa"/>
            <w:noWrap w:val="0"/>
            <w:vAlign w:val="top"/>
          </w:tcPr>
          <w:p>
            <w:pPr>
              <w:pStyle w:val="5"/>
              <w:ind w:left="0" w:leftChars="0" w:firstLine="0" w:firstLineChars="0"/>
              <w:rPr>
                <w:rFonts w:ascii="宋体" w:hAnsi="宋体" w:eastAsia="宋体" w:cs="宋体"/>
                <w:b w:val="0"/>
                <w:color w:val="000000"/>
                <w:sz w:val="24"/>
                <w:szCs w:val="24"/>
              </w:rPr>
            </w:pPr>
          </w:p>
          <w:p>
            <w:pPr>
              <w:pStyle w:val="5"/>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color w:val="000000"/>
                <w:sz w:val="24"/>
                <w:szCs w:val="24"/>
                <w:lang w:val="en-US" w:eastAsia="zh-CN"/>
              </w:rPr>
              <w:t>所</w:t>
            </w:r>
            <w:r>
              <w:rPr>
                <w:rFonts w:hint="eastAsia" w:asciiTheme="minorEastAsia" w:hAnsiTheme="minorEastAsia" w:eastAsiaTheme="minorEastAsia" w:cstheme="minorEastAsia"/>
                <w:b w:val="0"/>
                <w:color w:val="000000"/>
                <w:sz w:val="24"/>
                <w:szCs w:val="24"/>
                <w:lang w:val="en-US" w:eastAsia="zh-CN"/>
              </w:rPr>
              <w:t>投设备供应商列出</w:t>
            </w:r>
            <w:r>
              <w:rPr>
                <w:rFonts w:hint="eastAsia" w:asciiTheme="minorEastAsia" w:hAnsiTheme="minorEastAsia" w:eastAsiaTheme="minorEastAsia" w:cstheme="minorEastAsia"/>
                <w:b w:val="0"/>
                <w:color w:val="000000"/>
                <w:sz w:val="24"/>
                <w:szCs w:val="24"/>
              </w:rPr>
              <w:t>需报价的耗材，对</w:t>
            </w:r>
            <w:r>
              <w:rPr>
                <w:rFonts w:hint="eastAsia" w:asciiTheme="minorEastAsia" w:hAnsiTheme="minorEastAsia" w:eastAsiaTheme="minorEastAsia" w:cstheme="minorEastAsia"/>
                <w:b w:val="0"/>
                <w:color w:val="000000"/>
                <w:sz w:val="24"/>
                <w:szCs w:val="24"/>
                <w:lang w:val="en-US" w:eastAsia="zh-CN"/>
              </w:rPr>
              <w:t>列出</w:t>
            </w:r>
            <w:r>
              <w:rPr>
                <w:rFonts w:hint="eastAsia" w:asciiTheme="minorEastAsia" w:hAnsiTheme="minorEastAsia" w:eastAsiaTheme="minorEastAsia" w:cstheme="minorEastAsia"/>
                <w:b w:val="0"/>
                <w:color w:val="000000"/>
                <w:sz w:val="24"/>
                <w:szCs w:val="24"/>
              </w:rPr>
              <w:t>的耗材进行报价，</w:t>
            </w:r>
            <w:r>
              <w:rPr>
                <w:rFonts w:hint="eastAsia" w:asciiTheme="minorEastAsia" w:hAnsiTheme="minorEastAsia" w:eastAsiaTheme="minorEastAsia" w:cstheme="minorEastAsia"/>
                <w:b w:val="0"/>
                <w:color w:val="000000"/>
                <w:sz w:val="24"/>
                <w:szCs w:val="24"/>
                <w:lang w:val="en-US" w:eastAsia="zh-CN"/>
              </w:rPr>
              <w:t>议价</w:t>
            </w:r>
            <w:r>
              <w:rPr>
                <w:rFonts w:hint="eastAsia" w:asciiTheme="minorEastAsia" w:hAnsiTheme="minorEastAsia" w:eastAsiaTheme="minorEastAsia" w:cstheme="minorEastAsia"/>
                <w:b w:val="0"/>
                <w:color w:val="000000"/>
                <w:sz w:val="24"/>
                <w:szCs w:val="24"/>
              </w:rPr>
              <w:t>小组按低到高的顺序进行打分。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4" w:hRule="atLeast"/>
        </w:trPr>
        <w:tc>
          <w:tcPr>
            <w:tcW w:w="832" w:type="dxa"/>
            <w:noWrap w:val="0"/>
            <w:vAlign w:val="top"/>
          </w:tcPr>
          <w:p>
            <w:pPr>
              <w:pStyle w:val="5"/>
              <w:ind w:left="0" w:leftChars="0" w:firstLine="0" w:firstLineChars="0"/>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w:t>
            </w:r>
          </w:p>
        </w:tc>
        <w:tc>
          <w:tcPr>
            <w:tcW w:w="1641" w:type="dxa"/>
            <w:noWrap w:val="0"/>
            <w:vAlign w:val="top"/>
          </w:tcPr>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商务部分</w:t>
            </w: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（10分）</w:t>
            </w:r>
          </w:p>
        </w:tc>
        <w:tc>
          <w:tcPr>
            <w:tcW w:w="1537" w:type="dxa"/>
            <w:noWrap w:val="0"/>
            <w:vAlign w:val="center"/>
          </w:tcPr>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质量保证及售后服务</w:t>
            </w:r>
          </w:p>
          <w:p>
            <w:pPr>
              <w:pStyle w:val="5"/>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（10分）</w:t>
            </w:r>
          </w:p>
        </w:tc>
        <w:tc>
          <w:tcPr>
            <w:tcW w:w="5110" w:type="dxa"/>
            <w:noWrap w:val="0"/>
            <w:vAlign w:val="top"/>
          </w:tcPr>
          <w:p>
            <w:pPr>
              <w:pStyle w:val="5"/>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p>
          <w:p>
            <w:pPr>
              <w:pStyle w:val="5"/>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第一档次：响应时间短（24小时内响应并提供解决方案）、</w:t>
            </w:r>
            <w:r>
              <w:rPr>
                <w:rFonts w:hint="eastAsia" w:asciiTheme="minorEastAsia" w:hAnsiTheme="minorEastAsia" w:eastAsiaTheme="minorEastAsia" w:cstheme="minorEastAsia"/>
                <w:i w:val="0"/>
                <w:color w:val="auto"/>
                <w:kern w:val="0"/>
                <w:sz w:val="24"/>
                <w:szCs w:val="24"/>
                <w:u w:val="none"/>
                <w:lang w:val="en-US" w:eastAsia="zh-CN" w:bidi="ar"/>
              </w:rPr>
              <w:t>质保期</w:t>
            </w:r>
            <w:r>
              <w:rPr>
                <w:rFonts w:hint="eastAsia" w:asciiTheme="minorEastAsia" w:hAnsiTheme="minorEastAsia" w:eastAsiaTheme="minorEastAsia" w:cstheme="minorEastAsia"/>
                <w:i w:val="0"/>
                <w:color w:val="000000"/>
                <w:kern w:val="0"/>
                <w:sz w:val="24"/>
                <w:szCs w:val="24"/>
                <w:u w:val="none"/>
                <w:lang w:val="en-US" w:eastAsia="zh-CN" w:bidi="ar"/>
              </w:rPr>
              <w:t>、售后服务完善，得 10分；</w:t>
            </w:r>
          </w:p>
          <w:p>
            <w:pPr>
              <w:pStyle w:val="6"/>
              <w:rPr>
                <w:rFonts w:hint="eastAsia"/>
                <w:lang w:val="en-US" w:eastAsia="zh-CN"/>
              </w:rPr>
            </w:pPr>
          </w:p>
          <w:p>
            <w:pPr>
              <w:pStyle w:val="5"/>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第二档次：响应时间、质保期和服务一般，得 6分；</w:t>
            </w:r>
          </w:p>
          <w:p>
            <w:pPr>
              <w:pStyle w:val="6"/>
              <w:rPr>
                <w:rFonts w:hint="eastAsia"/>
                <w:lang w:val="en-US" w:eastAsia="zh-CN"/>
              </w:rPr>
            </w:pPr>
          </w:p>
          <w:p>
            <w:pPr>
              <w:pStyle w:val="5"/>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第三档次：响应时间、质保期和服务较差得2分 。</w:t>
            </w:r>
          </w:p>
        </w:tc>
      </w:tr>
    </w:tbl>
    <w:p>
      <w:pPr>
        <w:pStyle w:val="6"/>
        <w:ind w:left="0" w:leftChars="0" w:firstLine="0" w:firstLineChars="0"/>
        <w:rPr>
          <w:rFonts w:hint="eastAsia" w:ascii="黑体" w:hAnsi="黑体" w:eastAsia="黑体" w:cs="黑体"/>
          <w:b w:val="0"/>
          <w:bCs w:val="0"/>
          <w:color w:val="auto"/>
          <w:sz w:val="32"/>
          <w:szCs w:val="32"/>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p>
    <w:p>
      <w:pPr>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响应材料格式提交模版</w:t>
      </w:r>
    </w:p>
    <w:p>
      <w:pPr>
        <w:pStyle w:val="5"/>
        <w:rPr>
          <w:rFonts w:hint="default"/>
          <w:lang w:val="en-US" w:eastAsia="zh-CN"/>
        </w:rPr>
      </w:pPr>
    </w:p>
    <w:p>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8"/>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3"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3"/>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8"/>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numPr>
          <w:ilvl w:val="0"/>
          <w:numId w:val="0"/>
        </w:numPr>
        <w:ind w:leftChars="0"/>
        <w:rPr>
          <w:rFonts w:hint="eastAsia" w:ascii="宋体" w:hAnsi="宋体" w:eastAsia="宋体" w:cs="宋体"/>
          <w:sz w:val="28"/>
          <w:szCs w:val="28"/>
          <w:lang w:val="en-US" w:eastAsia="zh-CN"/>
        </w:rPr>
      </w:pPr>
    </w:p>
    <w:p>
      <w:pPr>
        <w:pStyle w:val="4"/>
        <w:rPr>
          <w:rFonts w:hint="eastAsia" w:ascii="宋体" w:hAnsi="宋体" w:eastAsia="宋体" w:cs="宋体"/>
          <w:sz w:val="28"/>
          <w:szCs w:val="28"/>
          <w:lang w:val="en-US" w:eastAsia="zh-CN"/>
        </w:rPr>
      </w:pPr>
    </w:p>
    <w:p>
      <w:pPr>
        <w:widowControl/>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4"/>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4"/>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及违规违纪行为。</w:t>
      </w:r>
    </w:p>
    <w:p>
      <w:pPr>
        <w:bidi w:val="0"/>
        <w:rPr>
          <w:rFonts w:hint="eastAsia" w:ascii="宋体" w:hAnsi="宋体" w:eastAsia="宋体" w:cs="宋体"/>
          <w:sz w:val="28"/>
          <w:szCs w:val="28"/>
          <w:lang w:val="en-US" w:eastAsia="zh-CN"/>
        </w:rPr>
      </w:pPr>
      <w:r>
        <w:rPr>
          <w:rFonts w:hint="eastAsia" w:asciiTheme="minorEastAsia" w:hAnsiTheme="minorEastAsia" w:eastAsiaTheme="minorEastAsia" w:cstheme="minorEastAsia"/>
          <w:color w:val="auto"/>
          <w:sz w:val="28"/>
          <w:szCs w:val="28"/>
          <w:lang w:val="en-US" w:eastAsia="zh-CN"/>
        </w:rPr>
        <w:t>2.6.1</w:t>
      </w:r>
      <w:r>
        <w:rPr>
          <w:rFonts w:hint="eastAsia" w:asciiTheme="minorEastAsia" w:hAnsiTheme="minorEastAsia" w:eastAsiaTheme="minorEastAsia" w:cstheme="minorEastAsia"/>
          <w:color w:val="auto"/>
          <w:sz w:val="28"/>
          <w:szCs w:val="28"/>
          <w:lang w:val="en-US"/>
        </w:rPr>
        <w:t>提供参加政府采购活动前三年内在经营活动中没有重大违法记录及违规违纪行为的书面声明</w:t>
      </w:r>
      <w:r>
        <w:rPr>
          <w:rFonts w:hint="eastAsia" w:ascii="宋体" w:hAnsi="宋体" w:eastAsia="宋体" w:cs="宋体"/>
          <w:sz w:val="28"/>
          <w:szCs w:val="28"/>
          <w:lang w:val="en-US" w:eastAsia="zh-CN"/>
        </w:rPr>
        <w:t>。</w:t>
      </w:r>
    </w:p>
    <w:p>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pPr>
        <w:pStyle w:val="6"/>
        <w:rPr>
          <w:rFonts w:hint="eastAsia"/>
          <w:lang w:val="en-US" w:eastAsia="zh-CN"/>
        </w:rPr>
      </w:pPr>
    </w:p>
    <w:p>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pPr>
        <w:pStyle w:val="5"/>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pPr>
        <w:pStyle w:val="5"/>
        <w:rPr>
          <w:rFonts w:hint="eastAsia"/>
          <w:lang w:val="en-US" w:eastAsia="zh-CN"/>
        </w:rPr>
      </w:pPr>
    </w:p>
    <w:p>
      <w:pPr>
        <w:pStyle w:val="5"/>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pStyle w:val="4"/>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8"/>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pPr>
        <w:rPr>
          <w:rFonts w:hint="eastAsia"/>
          <w:lang w:val="en-US" w:eastAsia="zh-CN"/>
        </w:rPr>
      </w:pP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p>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宋体" w:hAnsi="宋体" w:cs="宋体"/>
          <w:b/>
          <w:bCs/>
          <w:color w:val="auto"/>
          <w:sz w:val="28"/>
          <w:szCs w:val="28"/>
          <w:lang w:val="en-US" w:eastAsia="zh-CN"/>
        </w:rPr>
        <w:t>4</w:t>
      </w:r>
      <w:r>
        <w:rPr>
          <w:rFonts w:hint="eastAsia" w:ascii="宋体" w:hAnsi="宋体" w:eastAsia="宋体" w:cs="宋体"/>
          <w:b/>
          <w:bCs/>
          <w:color w:val="auto"/>
          <w:sz w:val="28"/>
          <w:szCs w:val="28"/>
          <w:lang w:val="en-US" w:eastAsia="zh-CN"/>
        </w:rPr>
        <w:t>.5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8"/>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2543" w:type="dxa"/>
            <w:shd w:val="clear" w:color="auto" w:fill="95B3D7"/>
            <w:vAlign w:val="center"/>
          </w:tcPr>
          <w:p>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exac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850" w:type="dxa"/>
            <w:shd w:val="clear" w:color="auto" w:fill="9CC2E5" w:themeFill="accent1" w:themeFillTint="99"/>
            <w:vAlign w:val="center"/>
          </w:tcPr>
          <w:p>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pPr>
              <w:rPr>
                <w:rFonts w:hint="eastAsia" w:asciiTheme="minorEastAsia" w:hAnsiTheme="minorEastAsia" w:eastAsiaTheme="minorEastAsia" w:cstheme="minorEastAsia"/>
                <w:b/>
                <w:sz w:val="22"/>
                <w:szCs w:val="22"/>
              </w:rPr>
            </w:pPr>
          </w:p>
        </w:tc>
        <w:tc>
          <w:tcPr>
            <w:tcW w:w="2692"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pPr>
              <w:jc w:val="cente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ADB9CA" w:themeFill="text2" w:themeFillTint="66"/>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pPr>
              <w:tabs>
                <w:tab w:val="left" w:pos="3238"/>
              </w:tabs>
              <w:ind w:firstLine="3092" w:firstLineChars="1400"/>
              <w:rPr>
                <w:rFonts w:hint="eastAsia" w:asciiTheme="minorEastAsia" w:hAnsiTheme="minorEastAsia" w:eastAsiaTheme="minorEastAsia" w:cstheme="minorEastAsia"/>
                <w:b/>
                <w:sz w:val="22"/>
                <w:szCs w:val="22"/>
              </w:rPr>
            </w:pPr>
          </w:p>
          <w:p>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6eem1gAA&#10;AAkBAAAPAAAAAAAAAAEAIAAAACIAAABkcnMvZG93bnJldi54bWxQSwECFAAUAAAACACHTuJAu+tY&#10;bS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U1l0a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U7Z/VAAAA&#10;CQEAAA8AAAAAAAAAAQAgAAAAIgAAAGRycy9kb3ducmV2LnhtbFBLAQIUABQAAAAIAIdO4kBTWXRp&#10;IAIAAC0EAAAOAAAAAAAAAAEAIAAAACQBAABkcnMvZTJvRG9jLnhtbFBLBQYAAAAABgAGAFkBAAC2&#10;BQ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trPr>
        <w:tc>
          <w:tcPr>
            <w:tcW w:w="2802" w:type="dxa"/>
            <w:gridSpan w:val="2"/>
            <w:shd w:val="clear" w:color="auto" w:fill="ADB9CA" w:themeFill="text2" w:themeFillTint="66"/>
          </w:tcPr>
          <w:p>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pP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5180" w:type="dxa"/>
            <w:gridSpan w:val="13"/>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pPr>
        <w:ind w:right="420" w:firstLine="10710" w:firstLineChars="5100"/>
        <w:rPr>
          <w:rFonts w:hint="eastAsia"/>
          <w:szCs w:val="21"/>
          <w:lang w:val="en-US" w:eastAsia="zh-CN"/>
        </w:rPr>
      </w:pPr>
      <w:r>
        <w:rPr>
          <w:rFonts w:hint="eastAsia"/>
          <w:szCs w:val="21"/>
          <w:lang w:val="en-US" w:eastAsia="zh-CN"/>
        </w:rPr>
        <w:t>腾冲市人民医院招标采购办公室制表</w:t>
      </w:r>
    </w:p>
    <w:p>
      <w:pPr>
        <w:pStyle w:val="4"/>
        <w:rPr>
          <w:rFonts w:hint="eastAsia"/>
          <w:szCs w:val="21"/>
          <w:lang w:val="en-US" w:eastAsia="zh-CN"/>
        </w:rPr>
      </w:pPr>
    </w:p>
    <w:p>
      <w:pPr>
        <w:rPr>
          <w:rFonts w:hint="eastAsia"/>
          <w:szCs w:val="21"/>
          <w:lang w:val="en-US" w:eastAsia="zh-CN"/>
        </w:rPr>
      </w:pPr>
    </w:p>
    <w:p>
      <w:pPr>
        <w:pStyle w:val="4"/>
        <w:rPr>
          <w:rFonts w:hint="eastAsia"/>
          <w:szCs w:val="21"/>
          <w:lang w:val="en-US" w:eastAsia="zh-CN"/>
        </w:rPr>
        <w:sectPr>
          <w:pgSz w:w="16838" w:h="11906" w:orient="landscape"/>
          <w:pgMar w:top="397" w:right="1134" w:bottom="420" w:left="1134" w:header="851" w:footer="992" w:gutter="0"/>
          <w:cols w:space="425" w:num="1"/>
          <w:docGrid w:type="lines" w:linePitch="312" w:charSpace="0"/>
        </w:sectPr>
      </w:pPr>
    </w:p>
    <w:p>
      <w:pPr>
        <w:rPr>
          <w:rFonts w:hint="default"/>
          <w:lang w:val="en-US" w:eastAsia="zh-CN"/>
        </w:r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pPr>
        <w:jc w:val="center"/>
        <w:rPr>
          <w:rFonts w:hint="eastAsia" w:ascii="宋体" w:hAnsi="宋体" w:eastAsia="宋体" w:cs="宋体"/>
          <w:b/>
          <w:color w:val="auto"/>
          <w:sz w:val="30"/>
          <w:szCs w:val="30"/>
        </w:rPr>
      </w:pPr>
      <w:bookmarkStart w:id="4" w:name="_Toc7334"/>
      <w:bookmarkStart w:id="5" w:name="_Toc12278"/>
      <w:bookmarkStart w:id="6" w:name="_Toc9923"/>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4"/>
      <w:bookmarkEnd w:id="5"/>
      <w:bookmarkEnd w:id="6"/>
    </w:p>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pPr>
        <w:pStyle w:val="11"/>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pPr>
        <w:pStyle w:val="11"/>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pPr>
        <w:pStyle w:val="12"/>
        <w:adjustRightInd w:val="0"/>
        <w:snapToGrid w:val="0"/>
        <w:spacing w:line="360" w:lineRule="auto"/>
        <w:rPr>
          <w:rFonts w:hint="eastAsia" w:ascii="宋体" w:hAnsi="宋体" w:eastAsia="宋体" w:cs="宋体"/>
          <w:color w:val="auto"/>
          <w:sz w:val="24"/>
          <w:szCs w:val="24"/>
        </w:rPr>
      </w:pPr>
    </w:p>
    <w:p>
      <w:pPr>
        <w:pStyle w:val="12"/>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2"/>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2"/>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pPr>
        <w:pStyle w:val="4"/>
        <w:numPr>
          <w:ilvl w:val="0"/>
          <w:numId w:val="1"/>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pPr>
        <w:pStyle w:val="13"/>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7" w:name="_Toc26663"/>
      <w:bookmarkStart w:id="8" w:name="_Toc25914"/>
      <w:bookmarkStart w:id="9" w:name="_Toc12194"/>
      <w:bookmarkStart w:id="10" w:name="_Toc27763"/>
      <w:bookmarkStart w:id="11" w:name="_Toc6320"/>
      <w:bookmarkStart w:id="12" w:name="_Toc8849"/>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7"/>
      <w:bookmarkEnd w:id="8"/>
      <w:bookmarkEnd w:id="9"/>
      <w:bookmarkEnd w:id="10"/>
      <w:bookmarkEnd w:id="11"/>
      <w:bookmarkEnd w:id="12"/>
    </w:p>
    <w:p>
      <w:pPr>
        <w:pStyle w:val="11"/>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11"/>
        <w:widowControl/>
        <w:ind w:firstLine="0"/>
        <w:rPr>
          <w:rFonts w:hint="eastAsia" w:ascii="宋体" w:hAnsi="宋体" w:eastAsia="宋体" w:cs="宋体"/>
          <w:color w:val="auto"/>
          <w:sz w:val="24"/>
          <w:szCs w:val="24"/>
        </w:rPr>
      </w:pPr>
    </w:p>
    <w:p>
      <w:pPr>
        <w:pStyle w:val="4"/>
        <w:numPr>
          <w:ilvl w:val="0"/>
          <w:numId w:val="0"/>
        </w:numPr>
        <w:jc w:val="both"/>
        <w:rPr>
          <w:rFonts w:hint="eastAsia"/>
          <w:lang w:val="en-US" w:eastAsia="zh-CN"/>
        </w:rPr>
      </w:pPr>
    </w:p>
    <w:p>
      <w:pPr>
        <w:pStyle w:val="4"/>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3" w:name="_Toc24071"/>
      <w:bookmarkStart w:id="14" w:name="_Toc8907"/>
      <w:bookmarkStart w:id="15" w:name="_Toc26397"/>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3"/>
      <w:bookmarkEnd w:id="14"/>
      <w:bookmarkEnd w:id="15"/>
    </w:p>
    <w:p>
      <w:pPr>
        <w:pStyle w:val="13"/>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13"/>
        <w:ind w:firstLine="0" w:firstLineChars="0"/>
        <w:rPr>
          <w:rFonts w:hint="eastAsia" w:ascii="宋体" w:hAnsi="宋体" w:eastAsia="宋体" w:cs="宋体"/>
          <w:color w:val="auto"/>
          <w:sz w:val="24"/>
          <w:szCs w:val="24"/>
        </w:rPr>
      </w:pPr>
    </w:p>
    <w:p>
      <w:pPr>
        <w:pStyle w:val="12"/>
        <w:adjustRightInd w:val="0"/>
        <w:snapToGrid w:val="0"/>
        <w:spacing w:line="360" w:lineRule="auto"/>
        <w:rPr>
          <w:rFonts w:hint="eastAsia" w:ascii="宋体" w:hAnsi="宋体" w:eastAsia="宋体" w:cs="宋体"/>
          <w:color w:val="auto"/>
          <w:sz w:val="24"/>
          <w:szCs w:val="24"/>
        </w:rPr>
      </w:pPr>
    </w:p>
    <w:p>
      <w:pPr>
        <w:pStyle w:val="12"/>
        <w:adjustRightInd w:val="0"/>
        <w:snapToGrid w:val="0"/>
        <w:spacing w:line="360" w:lineRule="auto"/>
        <w:rPr>
          <w:rFonts w:hint="eastAsia" w:ascii="宋体" w:hAnsi="宋体" w:eastAsia="宋体" w:cs="宋体"/>
          <w:color w:val="auto"/>
          <w:sz w:val="24"/>
          <w:szCs w:val="24"/>
        </w:rPr>
      </w:pPr>
    </w:p>
    <w:p>
      <w:pPr>
        <w:pStyle w:val="12"/>
        <w:adjustRightInd w:val="0"/>
        <w:snapToGrid w:val="0"/>
        <w:spacing w:line="360" w:lineRule="auto"/>
        <w:rPr>
          <w:rFonts w:hint="eastAsia" w:ascii="宋体" w:hAnsi="宋体" w:eastAsia="宋体" w:cs="宋体"/>
          <w:color w:val="auto"/>
          <w:sz w:val="24"/>
          <w:szCs w:val="24"/>
        </w:rPr>
      </w:pPr>
    </w:p>
    <w:p>
      <w:pPr>
        <w:pStyle w:val="12"/>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2"/>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2"/>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4"/>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pPr>
        <w:pStyle w:val="3"/>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腾冲市人民医院：</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我公司</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投标人名称</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参加</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项目名称、标段号</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的投标活动，我公司承诺不存在以下情形：</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（一）投标人直接或者间接从采购人或者采购代理机构处获得其他投标人的相关情况并修改其投标文件或者响应文件；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（二）投标人按照采购人或者采购代理机构的授意撤换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修改投标文件或者响应文件；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（三）投标人之间协商报价</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技术方案等投标文件或者响应文件的实质性内容；</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（四）属于同一集团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协会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商会等组织成员的投标人按照该组织要求协同参加政府采购活动；</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（五）投标人之间事先约定由某一特定投标人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（六）投标人之间商定部分投标人放弃参加政府采购活动或者放弃</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（七）投标人与采购人或者采购代理机构之间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投标人相互之间，为谋求特定投标人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或者排斥其他投标人的其他串通行为。</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rPr>
        <w:t>）不同投标人的投标文件由同一单位或者个人编制；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rPr>
        <w:t>）不同投标人委托同一单位或者个人办理投标事宜；</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rPr>
        <w:t>）不同投标人的投标文件载明的项目管理成员或者联系人员为同一人；</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rPr>
        <w:t>）不同投标人的投标文件异常一致或者投标报价呈规律性差异；</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十二</w:t>
      </w:r>
      <w:r>
        <w:rPr>
          <w:rFonts w:hint="eastAsia" w:asciiTheme="minorEastAsia" w:hAnsiTheme="minorEastAsia" w:eastAsiaTheme="minorEastAsia" w:cstheme="minorEastAsia"/>
          <w:sz w:val="28"/>
          <w:szCs w:val="28"/>
        </w:rPr>
        <w:t>）不同投标人的投标文件相互混装；</w:t>
      </w:r>
    </w:p>
    <w:p>
      <w:pPr>
        <w:bidi w:val="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若我公司</w:t>
      </w:r>
      <w:r>
        <w:rPr>
          <w:rFonts w:hint="eastAsia" w:asciiTheme="minorEastAsia" w:hAnsiTheme="minorEastAsia" w:eastAsiaTheme="minorEastAsia" w:cstheme="minorEastAsia"/>
          <w:b/>
          <w:bCs/>
          <w:sz w:val="28"/>
          <w:szCs w:val="28"/>
        </w:rPr>
        <w:t>存在上</w:t>
      </w:r>
      <w:r>
        <w:rPr>
          <w:rFonts w:hint="eastAsia" w:asciiTheme="minorEastAsia" w:hAnsiTheme="minorEastAsia" w:eastAsiaTheme="minorEastAsia" w:cstheme="minorEastAsia"/>
          <w:b/>
          <w:bCs/>
          <w:sz w:val="28"/>
          <w:szCs w:val="28"/>
          <w:lang w:val="en-US" w:eastAsia="zh-CN"/>
        </w:rPr>
        <w:t>述情形，按无效响应文件处理；贵单位有权</w:t>
      </w:r>
      <w:r>
        <w:rPr>
          <w:rFonts w:hint="eastAsia" w:asciiTheme="minorEastAsia" w:hAnsiTheme="minorEastAsia" w:eastAsiaTheme="minorEastAsia" w:cstheme="minorEastAsia"/>
          <w:b/>
          <w:bCs/>
          <w:sz w:val="28"/>
          <w:szCs w:val="28"/>
        </w:rPr>
        <w:t>依照政府采购法</w:t>
      </w:r>
      <w:r>
        <w:rPr>
          <w:rFonts w:hint="eastAsia" w:asciiTheme="minorEastAsia" w:hAnsiTheme="minorEastAsia" w:eastAsiaTheme="minorEastAsia" w:cstheme="minorEastAsia"/>
          <w:b/>
          <w:bCs/>
          <w:sz w:val="28"/>
          <w:szCs w:val="28"/>
          <w:lang w:val="en-US" w:eastAsia="zh-CN"/>
        </w:rPr>
        <w:t>及相关法律法规追究我公司</w:t>
      </w:r>
      <w:r>
        <w:rPr>
          <w:rFonts w:hint="eastAsia" w:asciiTheme="minorEastAsia" w:hAnsiTheme="minorEastAsia" w:eastAsiaTheme="minorEastAsia" w:cstheme="minorEastAsia"/>
          <w:b/>
          <w:bCs/>
          <w:sz w:val="28"/>
          <w:szCs w:val="28"/>
        </w:rPr>
        <w:t>法律责任，</w:t>
      </w:r>
      <w:r>
        <w:rPr>
          <w:rFonts w:hint="eastAsia" w:asciiTheme="minorEastAsia" w:hAnsiTheme="minorEastAsia" w:eastAsiaTheme="minorEastAsia" w:cstheme="minorEastAsia"/>
          <w:b/>
          <w:bCs/>
          <w:sz w:val="28"/>
          <w:szCs w:val="28"/>
          <w:lang w:val="en-US" w:eastAsia="zh-CN"/>
        </w:rPr>
        <w:t>由此造成的经济损失由我公司承担。</w:t>
      </w:r>
    </w:p>
    <w:p>
      <w:pPr>
        <w:pStyle w:val="4"/>
        <w:ind w:left="0" w:leftChars="0" w:firstLine="0" w:firstLineChars="0"/>
        <w:jc w:val="both"/>
        <w:rPr>
          <w:rFonts w:hint="eastAsia" w:ascii="宋体" w:hAnsi="宋体" w:eastAsia="宋体" w:cs="宋体"/>
          <w:sz w:val="24"/>
          <w:szCs w:val="24"/>
          <w:lang w:val="en-US" w:eastAsia="zh-CN"/>
        </w:rPr>
      </w:pPr>
    </w:p>
    <w:p>
      <w:pPr>
        <w:rPr>
          <w:rFonts w:hint="eastAsia"/>
          <w:lang w:val="en-US" w:eastAsia="zh-CN"/>
        </w:rPr>
      </w:pPr>
    </w:p>
    <w:p>
      <w:pPr>
        <w:pStyle w:val="4"/>
        <w:rPr>
          <w:rFonts w:hint="default"/>
          <w:lang w:val="en-US" w:eastAsia="zh-CN"/>
        </w:rPr>
      </w:pPr>
    </w:p>
    <w:p>
      <w:pPr>
        <w:rPr>
          <w:rFonts w:hint="default"/>
          <w:lang w:val="en-US" w:eastAsia="zh-CN"/>
        </w:rPr>
      </w:pPr>
    </w:p>
    <w:p>
      <w:pPr>
        <w:pStyle w:val="4"/>
        <w:rPr>
          <w:rFonts w:hint="default"/>
          <w:lang w:val="en-US" w:eastAsia="zh-CN"/>
        </w:rPr>
      </w:pPr>
    </w:p>
    <w:p>
      <w:pPr>
        <w:rPr>
          <w:rFonts w:hint="default"/>
          <w:lang w:val="en-US" w:eastAsia="zh-CN"/>
        </w:rPr>
      </w:pPr>
    </w:p>
    <w:p>
      <w:pPr>
        <w:rPr>
          <w:rFonts w:hint="default"/>
          <w:lang w:val="en-US" w:eastAsia="zh-CN"/>
        </w:rPr>
      </w:pPr>
    </w:p>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7FF111"/>
    <w:multiLevelType w:val="singleLevel"/>
    <w:tmpl w:val="A77FF1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CEE54C8"/>
    <w:rsid w:val="328F2A57"/>
    <w:rsid w:val="48711144"/>
    <w:rsid w:val="48DD6EFD"/>
    <w:rsid w:val="524763D0"/>
    <w:rsid w:val="59CE44C9"/>
    <w:rsid w:val="62392F01"/>
    <w:rsid w:val="6B8F6694"/>
    <w:rsid w:val="79584E1A"/>
    <w:rsid w:val="7C820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customStyle="1" w:styleId="2">
    <w:name w:val="表格文字"/>
    <w:basedOn w:val="1"/>
    <w:qFormat/>
    <w:uiPriority w:val="0"/>
    <w:pPr>
      <w:jc w:val="left"/>
    </w:pPr>
    <w:rPr>
      <w:rFonts w:ascii="Times New Roman" w:hAnsi="Times New Roman" w:eastAsia="宋体" w:cs="Times New Roman"/>
      <w:sz w:val="18"/>
      <w:szCs w:val="24"/>
    </w:rPr>
  </w:style>
  <w:style w:type="paragraph" w:styleId="5">
    <w:name w:val="Body Text"/>
    <w:basedOn w:val="1"/>
    <w:next w:val="6"/>
    <w:qFormat/>
    <w:uiPriority w:val="0"/>
    <w:rPr>
      <w:sz w:val="44"/>
    </w:rPr>
  </w:style>
  <w:style w:type="paragraph" w:styleId="6">
    <w:name w:val="Date"/>
    <w:basedOn w:val="1"/>
    <w:next w:val="1"/>
    <w:qFormat/>
    <w:uiPriority w:val="0"/>
    <w:pPr>
      <w:ind w:left="100" w:leftChars="2500"/>
    </w:pPr>
  </w:style>
  <w:style w:type="paragraph" w:styleId="7">
    <w:name w:val="footer"/>
    <w:basedOn w:val="1"/>
    <w:qFormat/>
    <w:uiPriority w:val="0"/>
    <w:pPr>
      <w:tabs>
        <w:tab w:val="center" w:pos="4153"/>
        <w:tab w:val="right" w:pos="8306"/>
      </w:tabs>
      <w:snapToGrid w:val="0"/>
      <w:jc w:val="left"/>
    </w:pPr>
    <w:rPr>
      <w:sz w:val="18"/>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1">
    <w:name w:val="正文缩进1"/>
    <w:basedOn w:val="1"/>
    <w:qFormat/>
    <w:uiPriority w:val="0"/>
    <w:pPr>
      <w:ind w:firstLine="420"/>
    </w:pPr>
    <w:rPr>
      <w:rFonts w:ascii="Calibri" w:hAnsi="Calibri" w:cs="黑体"/>
    </w:rPr>
  </w:style>
  <w:style w:type="paragraph" w:customStyle="1" w:styleId="12">
    <w:name w:val="纯文本1"/>
    <w:basedOn w:val="1"/>
    <w:qFormat/>
    <w:uiPriority w:val="0"/>
    <w:rPr>
      <w:rFonts w:ascii="宋体" w:hAnsi="Courier New" w:cs="Courier New"/>
      <w:szCs w:val="21"/>
    </w:rPr>
  </w:style>
  <w:style w:type="paragraph" w:customStyle="1" w:styleId="13">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LYF</cp:lastModifiedBy>
  <dcterms:modified xsi:type="dcterms:W3CDTF">2025-07-23T02:56:22Z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