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firstLine="643" w:firstLineChars="200"/>
        <w:jc w:val="center"/>
        <w:textAlignment w:val="auto"/>
        <w:rPr>
          <w:rFonts w:hint="eastAsia" w:ascii="黑体" w:hAnsi="黑体" w:eastAsia="黑体" w:cs="黑体"/>
          <w:b/>
          <w:bCs/>
          <w:kern w:val="2"/>
          <w:sz w:val="32"/>
          <w:szCs w:val="32"/>
          <w:lang w:val="en-US" w:eastAsia="zh-CN" w:bidi="ar-SA"/>
        </w:rPr>
      </w:pPr>
      <w:r>
        <w:rPr>
          <w:rFonts w:hint="eastAsia" w:ascii="黑体" w:hAnsi="黑体" w:eastAsia="黑体" w:cs="黑体"/>
          <w:b/>
          <w:bCs/>
          <w:kern w:val="2"/>
          <w:sz w:val="32"/>
          <w:szCs w:val="32"/>
          <w:lang w:val="en-US" w:eastAsia="zh-CN" w:bidi="ar-SA"/>
        </w:rPr>
        <w:t>胎儿/母婴监护仪采购清单</w:t>
      </w:r>
    </w:p>
    <w:tbl>
      <w:tblPr>
        <w:tblStyle w:val="11"/>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2360"/>
        <w:gridCol w:w="927"/>
        <w:gridCol w:w="1023"/>
        <w:gridCol w:w="1486"/>
        <w:gridCol w:w="1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0" w:hRule="atLeast"/>
        </w:trPr>
        <w:tc>
          <w:tcPr>
            <w:tcW w:w="8613" w:type="dxa"/>
            <w:gridSpan w:val="6"/>
            <w:noWrap w:val="0"/>
            <w:vAlign w:val="top"/>
          </w:tcPr>
          <w:p>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腾冲市人民医院</w:t>
            </w:r>
            <w:bookmarkStart w:id="0" w:name="OLE_LINK2"/>
            <w:r>
              <w:rPr>
                <w:rFonts w:hint="eastAsia" w:ascii="宋体" w:hAnsi="宋体" w:eastAsia="宋体" w:cs="宋体"/>
                <w:kern w:val="2"/>
                <w:sz w:val="28"/>
                <w:szCs w:val="28"/>
                <w:lang w:val="en-US" w:eastAsia="zh-CN" w:bidi="ar-SA"/>
              </w:rPr>
              <w:t>胎儿/母婴监护仪</w:t>
            </w:r>
            <w:bookmarkEnd w:id="0"/>
            <w:r>
              <w:rPr>
                <w:rFonts w:hint="eastAsia" w:ascii="宋体" w:hAnsi="宋体" w:eastAsia="宋体" w:cs="宋体"/>
                <w:kern w:val="2"/>
                <w:sz w:val="28"/>
                <w:szCs w:val="28"/>
                <w:lang w:val="en-US" w:eastAsia="zh-CN" w:bidi="ar-SA"/>
              </w:rPr>
              <w:t>单一来源采购项目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2" w:hRule="atLeast"/>
        </w:trPr>
        <w:tc>
          <w:tcPr>
            <w:tcW w:w="853"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序号</w:t>
            </w:r>
          </w:p>
        </w:tc>
        <w:tc>
          <w:tcPr>
            <w:tcW w:w="2360"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型号</w:t>
            </w:r>
          </w:p>
        </w:tc>
        <w:tc>
          <w:tcPr>
            <w:tcW w:w="927"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数量</w:t>
            </w:r>
          </w:p>
        </w:tc>
        <w:tc>
          <w:tcPr>
            <w:tcW w:w="1023"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计量单位</w:t>
            </w:r>
          </w:p>
        </w:tc>
        <w:tc>
          <w:tcPr>
            <w:tcW w:w="1486"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单价（元）</w:t>
            </w:r>
          </w:p>
        </w:tc>
        <w:tc>
          <w:tcPr>
            <w:tcW w:w="1964"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2" w:hRule="atLeast"/>
        </w:trPr>
        <w:tc>
          <w:tcPr>
            <w:tcW w:w="853"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280" w:firstLineChars="100"/>
              <w:jc w:val="center"/>
              <w:textAlignment w:val="auto"/>
              <w:rPr>
                <w:rFonts w:hint="eastAsia" w:ascii="宋体" w:hAnsi="宋体" w:eastAsia="宋体" w:cs="宋体"/>
                <w:kern w:val="2"/>
                <w:sz w:val="28"/>
                <w:szCs w:val="28"/>
                <w:vertAlign w:val="baseline"/>
                <w:lang w:val="en-US" w:eastAsia="zh-CN" w:bidi="ar-SA"/>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280" w:firstLineChars="100"/>
              <w:jc w:val="center"/>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1</w:t>
            </w:r>
          </w:p>
        </w:tc>
        <w:tc>
          <w:tcPr>
            <w:tcW w:w="2360"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宋体"/>
                <w:kern w:val="2"/>
                <w:sz w:val="28"/>
                <w:szCs w:val="28"/>
                <w:vertAlign w:val="baseline"/>
                <w:lang w:val="en-US" w:eastAsia="zh-CN" w:bidi="ar-SA"/>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F6 Express</w:t>
            </w:r>
          </w:p>
        </w:tc>
        <w:tc>
          <w:tcPr>
            <w:tcW w:w="927"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280" w:firstLineChars="100"/>
              <w:jc w:val="center"/>
              <w:textAlignment w:val="auto"/>
              <w:rPr>
                <w:rFonts w:hint="eastAsia" w:ascii="宋体" w:hAnsi="宋体" w:eastAsia="宋体" w:cs="宋体"/>
                <w:kern w:val="2"/>
                <w:sz w:val="28"/>
                <w:szCs w:val="28"/>
                <w:vertAlign w:val="baseline"/>
                <w:lang w:val="en-US" w:eastAsia="zh-CN" w:bidi="ar-SA"/>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2</w:t>
            </w:r>
          </w:p>
        </w:tc>
        <w:tc>
          <w:tcPr>
            <w:tcW w:w="1023"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280" w:firstLineChars="100"/>
              <w:jc w:val="center"/>
              <w:textAlignment w:val="auto"/>
              <w:rPr>
                <w:rFonts w:hint="eastAsia" w:ascii="宋体" w:hAnsi="宋体" w:eastAsia="宋体" w:cs="宋体"/>
                <w:kern w:val="2"/>
                <w:sz w:val="28"/>
                <w:szCs w:val="28"/>
                <w:vertAlign w:val="baseline"/>
                <w:lang w:val="en-US" w:eastAsia="zh-CN" w:bidi="ar-SA"/>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280" w:firstLineChars="100"/>
              <w:jc w:val="center"/>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台</w:t>
            </w:r>
          </w:p>
        </w:tc>
        <w:tc>
          <w:tcPr>
            <w:tcW w:w="1486"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vertAlign w:val="baseline"/>
                <w:lang w:val="en-US" w:eastAsia="zh-CN" w:bidi="ar-SA"/>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40000.00</w:t>
            </w:r>
          </w:p>
        </w:tc>
        <w:tc>
          <w:tcPr>
            <w:tcW w:w="1964" w:type="dxa"/>
            <w:noWrap w:val="0"/>
            <w:vAlign w:val="top"/>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vertAlign w:val="baseline"/>
                <w:lang w:val="en-US" w:eastAsia="zh-CN" w:bidi="ar-SA"/>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宋体" w:cs="宋体"/>
                <w:kern w:val="2"/>
                <w:sz w:val="28"/>
                <w:szCs w:val="28"/>
                <w:vertAlign w:val="baseline"/>
                <w:lang w:val="en-US" w:eastAsia="zh-CN" w:bidi="ar-SA"/>
              </w:rPr>
            </w:pPr>
            <w:r>
              <w:rPr>
                <w:rFonts w:hint="eastAsia" w:ascii="宋体" w:hAnsi="宋体" w:eastAsia="宋体" w:cs="宋体"/>
                <w:kern w:val="2"/>
                <w:sz w:val="28"/>
                <w:szCs w:val="28"/>
                <w:vertAlign w:val="baseline"/>
                <w:lang w:val="en-US" w:eastAsia="zh-CN" w:bidi="ar-SA"/>
              </w:rPr>
              <w:t>80000.00</w:t>
            </w:r>
          </w:p>
        </w:tc>
      </w:tr>
    </w:tbl>
    <w:p>
      <w:pPr>
        <w:rPr>
          <w:rFonts w:hint="eastAsia" w:ascii="宋体" w:hAnsi="宋体" w:eastAsia="宋体" w:cs="宋体"/>
          <w:sz w:val="28"/>
          <w:szCs w:val="28"/>
        </w:rPr>
      </w:pPr>
    </w:p>
    <w:p>
      <w:pPr>
        <w:spacing w:before="156" w:line="400" w:lineRule="exact"/>
        <w:ind w:firstLine="562"/>
        <w:jc w:val="center"/>
        <w:outlineLvl w:val="0"/>
        <w:rPr>
          <w:rFonts w:hint="eastAsia" w:ascii="黑体" w:hAnsi="黑体" w:eastAsia="黑体" w:cs="黑体"/>
          <w:b/>
          <w:bCs/>
          <w:sz w:val="32"/>
          <w:szCs w:val="32"/>
        </w:rPr>
      </w:pPr>
      <w:r>
        <w:rPr>
          <w:rFonts w:hint="eastAsia" w:ascii="黑体" w:hAnsi="黑体" w:eastAsia="黑体" w:cs="黑体"/>
          <w:b/>
          <w:bCs/>
          <w:sz w:val="32"/>
          <w:szCs w:val="32"/>
        </w:rPr>
        <w:t>超声多普勒胎儿监护仪</w:t>
      </w:r>
    </w:p>
    <w:p>
      <w:pPr>
        <w:spacing w:before="156" w:line="400" w:lineRule="exact"/>
        <w:ind w:firstLine="562"/>
        <w:jc w:val="center"/>
        <w:outlineLvl w:val="0"/>
        <w:rPr>
          <w:rFonts w:hint="eastAsia" w:ascii="黑体" w:hAnsi="黑体" w:eastAsia="黑体" w:cs="黑体"/>
          <w:b/>
          <w:bCs/>
          <w:sz w:val="32"/>
          <w:szCs w:val="32"/>
        </w:rPr>
      </w:pPr>
      <w:r>
        <w:rPr>
          <w:rFonts w:hint="eastAsia" w:ascii="黑体" w:hAnsi="黑体" w:eastAsia="黑体" w:cs="黑体"/>
          <w:b/>
          <w:bCs/>
          <w:sz w:val="32"/>
          <w:szCs w:val="32"/>
        </w:rPr>
        <w:t>配置清单</w:t>
      </w:r>
    </w:p>
    <w:p>
      <w:pPr>
        <w:spacing w:before="156" w:line="400" w:lineRule="exact"/>
        <w:ind w:firstLine="562"/>
        <w:jc w:val="center"/>
        <w:outlineLvl w:val="0"/>
        <w:rPr>
          <w:rFonts w:hint="eastAsia" w:ascii="宋体" w:hAnsi="宋体" w:eastAsia="宋体" w:cs="宋体"/>
          <w:b w:val="0"/>
          <w:bCs w:val="0"/>
          <w:sz w:val="28"/>
          <w:szCs w:val="28"/>
        </w:rPr>
      </w:pPr>
      <w:r>
        <w:rPr>
          <w:rFonts w:hint="eastAsia" w:ascii="宋体" w:hAnsi="宋体" w:eastAsia="宋体" w:cs="宋体"/>
          <w:b w:val="0"/>
          <w:bCs w:val="0"/>
          <w:sz w:val="28"/>
          <w:szCs w:val="28"/>
        </w:rPr>
        <w:t>本页配置适用于 F6 Express胎儿/母</w:t>
      </w:r>
      <w:r>
        <w:rPr>
          <w:rFonts w:hint="eastAsia" w:ascii="宋体" w:hAnsi="宋体" w:cs="宋体"/>
          <w:b w:val="0"/>
          <w:bCs w:val="0"/>
          <w:sz w:val="28"/>
          <w:szCs w:val="28"/>
          <w:lang w:val="en-US" w:eastAsia="zh-CN"/>
        </w:rPr>
        <w:t>婴</w:t>
      </w:r>
      <w:r>
        <w:rPr>
          <w:rFonts w:hint="eastAsia" w:ascii="宋体" w:hAnsi="宋体" w:eastAsia="宋体" w:cs="宋体"/>
          <w:b w:val="0"/>
          <w:bCs w:val="0"/>
          <w:sz w:val="28"/>
          <w:szCs w:val="28"/>
        </w:rPr>
        <w:t>监护仪(有线机型)</w:t>
      </w:r>
    </w:p>
    <w:p>
      <w:pPr>
        <w:spacing w:before="156" w:line="400" w:lineRule="exact"/>
        <w:ind w:firstLine="562"/>
        <w:jc w:val="center"/>
        <w:outlineLvl w:val="0"/>
        <w:rPr>
          <w:rFonts w:hint="eastAsia" w:ascii="宋体" w:hAnsi="宋体" w:eastAsia="宋体" w:cs="宋体"/>
          <w:b w:val="0"/>
          <w:bCs w:val="0"/>
          <w:sz w:val="28"/>
          <w:szCs w:val="28"/>
        </w:rPr>
      </w:pPr>
      <w:r>
        <w:rPr>
          <w:rFonts w:hint="eastAsia" w:ascii="宋体" w:hAnsi="宋体" w:eastAsia="宋体" w:cs="宋体"/>
          <w:b w:val="0"/>
          <w:bCs w:val="0"/>
          <w:sz w:val="28"/>
          <w:szCs w:val="28"/>
        </w:rPr>
        <w:t>注:标配为单胎，双胎配置需要另行购买胎心探头</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4173"/>
        <w:gridCol w:w="1207"/>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序号</w:t>
            </w:r>
          </w:p>
        </w:tc>
        <w:tc>
          <w:tcPr>
            <w:tcW w:w="4173"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项目名称</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数量</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4"/>
          </w:tcPr>
          <w:p>
            <w:pPr>
              <w:spacing w:before="156" w:line="400" w:lineRule="exact"/>
              <w:jc w:val="both"/>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F6 Express主机</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2</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胎心探头</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3</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宫缩压力探头</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4</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打标器</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5</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成人指夹式血氧探头</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6</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血压袖套</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7</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血压气管延长线</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8</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心电导联线</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耦合剂</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10</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绑带</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2</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11</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内置宽行打印机</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12</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打印纸</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13</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电源线</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14</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保险管</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2</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p>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15</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中文用户文件（合格证，保修卡，装箱单，说明书，胎心监护手册、速查卡，用户验收单、三证文件各1）</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p>
          <w:p>
            <w:pPr>
              <w:spacing w:before="156" w:line="400" w:lineRule="exact"/>
              <w:ind w:firstLine="560" w:firstLineChars="200"/>
              <w:jc w:val="both"/>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p>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16</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接地线</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4"/>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选配：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体温探头</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2</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可充电锂电池</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3</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内置无线模块</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4</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胎儿刺激器</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5</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台车</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6</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挂墙架组件</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7</w:t>
            </w:r>
          </w:p>
        </w:tc>
        <w:tc>
          <w:tcPr>
            <w:tcW w:w="4173" w:type="dxa"/>
          </w:tcPr>
          <w:p>
            <w:pPr>
              <w:spacing w:before="156" w:line="400" w:lineRule="exact"/>
              <w:jc w:val="left"/>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挂墙板</w:t>
            </w:r>
          </w:p>
        </w:tc>
        <w:tc>
          <w:tcPr>
            <w:tcW w:w="1207"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131" w:type="dxa"/>
          </w:tcPr>
          <w:p>
            <w:pPr>
              <w:spacing w:before="156" w:line="400" w:lineRule="exact"/>
              <w:jc w:val="center"/>
              <w:outlineLvl w:val="0"/>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个</w:t>
            </w:r>
          </w:p>
        </w:tc>
      </w:tr>
    </w:tbl>
    <w:p>
      <w:pPr>
        <w:spacing w:before="156" w:line="400" w:lineRule="exact"/>
        <w:ind w:firstLine="562"/>
        <w:jc w:val="center"/>
        <w:outlineLvl w:val="0"/>
        <w:rPr>
          <w:rFonts w:hint="eastAsia" w:ascii="宋体" w:hAnsi="宋体" w:eastAsia="宋体" w:cs="宋体"/>
          <w:b/>
          <w:bCs/>
          <w:sz w:val="28"/>
          <w:szCs w:val="28"/>
        </w:rPr>
      </w:pPr>
    </w:p>
    <w:p>
      <w:pPr>
        <w:spacing w:before="156" w:line="400" w:lineRule="exact"/>
        <w:ind w:firstLine="562"/>
        <w:jc w:val="center"/>
        <w:outlineLvl w:val="0"/>
        <w:rPr>
          <w:rFonts w:hint="eastAsia" w:ascii="宋体" w:hAnsi="宋体" w:eastAsia="宋体" w:cs="宋体"/>
          <w:b/>
          <w:bCs/>
          <w:sz w:val="28"/>
          <w:szCs w:val="28"/>
          <w:lang w:val="en-US" w:eastAsia="zh-CN"/>
        </w:rPr>
      </w:pPr>
      <w:r>
        <w:rPr>
          <w:rFonts w:hint="eastAsia" w:ascii="黑体" w:hAnsi="黑体" w:eastAsia="黑体" w:cs="黑体"/>
          <w:b/>
          <w:bCs/>
          <w:sz w:val="32"/>
          <w:szCs w:val="32"/>
        </w:rPr>
        <w:t>胎儿母</w:t>
      </w:r>
      <w:r>
        <w:rPr>
          <w:rFonts w:hint="eastAsia" w:ascii="黑体" w:hAnsi="黑体" w:eastAsia="黑体" w:cs="黑体"/>
          <w:b/>
          <w:bCs/>
          <w:sz w:val="32"/>
          <w:szCs w:val="32"/>
          <w:lang w:val="en-US" w:eastAsia="zh-CN"/>
        </w:rPr>
        <w:t>婴</w:t>
      </w:r>
      <w:r>
        <w:rPr>
          <w:rFonts w:hint="eastAsia" w:ascii="黑体" w:hAnsi="黑体" w:eastAsia="黑体" w:cs="黑体"/>
          <w:b/>
          <w:bCs/>
          <w:sz w:val="32"/>
          <w:szCs w:val="32"/>
        </w:rPr>
        <w:t>监护仪</w:t>
      </w:r>
      <w:r>
        <w:rPr>
          <w:rFonts w:hint="eastAsia" w:ascii="黑体" w:hAnsi="黑体" w:eastAsia="黑体" w:cs="黑体"/>
          <w:b/>
          <w:bCs/>
          <w:sz w:val="32"/>
          <w:szCs w:val="32"/>
          <w:lang w:val="en-US" w:eastAsia="zh-CN"/>
        </w:rPr>
        <w:t>参数</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color w:val="000000"/>
          <w:sz w:val="28"/>
          <w:szCs w:val="28"/>
        </w:rPr>
        <w:t>监护参数：胎心率（FHR），宫缩压力（TOCO），胎动（FM）,</w:t>
      </w:r>
      <w:r>
        <w:rPr>
          <w:rFonts w:hint="eastAsia" w:ascii="宋体" w:hAnsi="宋体" w:eastAsia="宋体" w:cs="宋体"/>
          <w:sz w:val="28"/>
          <w:szCs w:val="28"/>
        </w:rPr>
        <w:t>母亲参数（血压、血氧、脉搏、心电、呼吸、体温）</w:t>
      </w:r>
      <w:r>
        <w:rPr>
          <w:rFonts w:hint="eastAsia" w:ascii="宋体" w:hAnsi="宋体" w:eastAsia="宋体" w:cs="宋体"/>
          <w:color w:val="000000"/>
          <w:sz w:val="28"/>
          <w:szCs w:val="28"/>
        </w:rPr>
        <w:t>；</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color w:val="FF0000"/>
          <w:sz w:val="28"/>
          <w:szCs w:val="28"/>
        </w:rPr>
        <w:t>★</w:t>
      </w:r>
      <w:r>
        <w:rPr>
          <w:rFonts w:hint="eastAsia" w:ascii="宋体" w:hAnsi="宋体" w:eastAsia="宋体" w:cs="宋体"/>
          <w:color w:val="000000"/>
          <w:sz w:val="28"/>
          <w:szCs w:val="28"/>
        </w:rPr>
        <w:t>多晶片1MHz超声胎心探头，超声波束声强：</w:t>
      </w:r>
      <w:r>
        <w:rPr>
          <w:rFonts w:hint="eastAsia" w:ascii="宋体" w:hAnsi="宋体" w:eastAsia="宋体" w:cs="宋体"/>
          <w:color w:val="000000"/>
          <w:kern w:val="0"/>
          <w:sz w:val="28"/>
          <w:szCs w:val="28"/>
        </w:rPr>
        <w:t>I</w:t>
      </w:r>
      <w:r>
        <w:rPr>
          <w:rFonts w:hint="eastAsia" w:ascii="宋体" w:hAnsi="宋体" w:eastAsia="宋体" w:cs="宋体"/>
          <w:color w:val="000000"/>
          <w:kern w:val="0"/>
          <w:sz w:val="28"/>
          <w:szCs w:val="28"/>
          <w:vertAlign w:val="subscript"/>
        </w:rPr>
        <w:t>ob</w:t>
      </w:r>
      <w:r>
        <w:rPr>
          <w:rFonts w:hint="eastAsia" w:ascii="宋体" w:hAnsi="宋体" w:eastAsia="宋体" w:cs="宋体"/>
          <w:color w:val="000000"/>
          <w:kern w:val="0"/>
          <w:sz w:val="28"/>
          <w:szCs w:val="28"/>
        </w:rPr>
        <w:t>&lt;1 mW/cm</w:t>
      </w:r>
      <w:r>
        <w:rPr>
          <w:rFonts w:hint="eastAsia" w:ascii="宋体" w:hAnsi="宋体" w:eastAsia="宋体" w:cs="宋体"/>
          <w:color w:val="000000"/>
          <w:kern w:val="0"/>
          <w:sz w:val="28"/>
          <w:szCs w:val="28"/>
          <w:vertAlign w:val="superscript"/>
        </w:rPr>
        <w:t>2</w:t>
      </w:r>
      <w:r>
        <w:rPr>
          <w:rFonts w:hint="eastAsia" w:ascii="宋体" w:hAnsi="宋体" w:eastAsia="宋体" w:cs="宋体"/>
          <w:color w:val="000000"/>
          <w:sz w:val="28"/>
          <w:szCs w:val="28"/>
        </w:rPr>
        <w:t>，胎心率范围： 30~240bpm 分辨率: 1bpm，精度：±2bpm；</w:t>
      </w:r>
    </w:p>
    <w:p>
      <w:pPr>
        <w:numPr>
          <w:ilvl w:val="0"/>
          <w:numId w:val="1"/>
        </w:numPr>
        <w:spacing w:before="156" w:line="360" w:lineRule="auto"/>
        <w:ind w:firstLineChars="0"/>
        <w:rPr>
          <w:rFonts w:hint="eastAsia" w:ascii="宋体" w:hAnsi="宋体" w:eastAsia="宋体" w:cs="宋体"/>
          <w:bCs/>
          <w:color w:val="000000"/>
          <w:sz w:val="28"/>
          <w:szCs w:val="28"/>
        </w:rPr>
      </w:pPr>
      <w:r>
        <w:rPr>
          <w:rFonts w:hint="eastAsia" w:ascii="宋体" w:hAnsi="宋体" w:eastAsia="宋体" w:cs="宋体"/>
          <w:color w:val="000000"/>
          <w:sz w:val="28"/>
          <w:szCs w:val="28"/>
        </w:rPr>
        <w:t>无凸点设计的宫缩探头，</w:t>
      </w:r>
      <w:r>
        <w:rPr>
          <w:rFonts w:hint="eastAsia" w:ascii="宋体" w:hAnsi="宋体" w:eastAsia="宋体" w:cs="宋体"/>
          <w:bCs/>
          <w:color w:val="000000"/>
          <w:sz w:val="28"/>
          <w:szCs w:val="28"/>
        </w:rPr>
        <w:t>0</w:t>
      </w:r>
      <w:r>
        <w:rPr>
          <w:rFonts w:hint="eastAsia" w:ascii="宋体" w:hAnsi="宋体" w:eastAsia="宋体" w:cs="宋体"/>
          <w:color w:val="000000"/>
          <w:sz w:val="28"/>
          <w:szCs w:val="28"/>
        </w:rPr>
        <w:t>~</w:t>
      </w:r>
      <w:r>
        <w:rPr>
          <w:rFonts w:hint="eastAsia" w:ascii="宋体" w:hAnsi="宋体" w:eastAsia="宋体" w:cs="宋体"/>
          <w:bCs/>
          <w:color w:val="000000"/>
          <w:sz w:val="28"/>
          <w:szCs w:val="28"/>
        </w:rPr>
        <w:t>100相对单位，分辨率1 ，非线性误差≤±10%，</w:t>
      </w:r>
      <w:r>
        <w:rPr>
          <w:rFonts w:hint="eastAsia" w:ascii="宋体" w:hAnsi="宋体" w:eastAsia="宋体" w:cs="宋体"/>
          <w:color w:val="000000"/>
          <w:kern w:val="0"/>
          <w:sz w:val="28"/>
          <w:szCs w:val="28"/>
        </w:rPr>
        <w:t>归零方式：自动/手动；</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color w:val="000000"/>
          <w:sz w:val="28"/>
          <w:szCs w:val="28"/>
        </w:rPr>
        <w:t>胎动：手动/自动胎动检测，显示并打印胎儿活动图；</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color w:val="000000"/>
          <w:sz w:val="28"/>
          <w:szCs w:val="28"/>
        </w:rPr>
        <w:t>10.1英寸高清晰屏，多角度翻转；</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sz w:val="28"/>
          <w:szCs w:val="28"/>
        </w:rPr>
        <w:t>监护曲线显示支持30 ~ 240（美标）和50 ~ 210（国际）两种标准；</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color w:val="000000"/>
          <w:sz w:val="28"/>
          <w:szCs w:val="28"/>
        </w:rPr>
        <w:t>内置式152mm（或150mm）宽行打印，符合国际标准，连续准确记录胎心率、宫缩压曲线及胎儿活动曲线；</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color w:val="000000"/>
          <w:sz w:val="28"/>
          <w:szCs w:val="28"/>
        </w:rPr>
        <w:t>每十分钟自动打印时间、日期、母亲参数（心率、血压、血氧、呼吸、体温等参数数值）；</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sz w:val="28"/>
          <w:szCs w:val="28"/>
        </w:rPr>
        <w:t>胎心率报警范围可调，当胎心率过缓或过速时自动报警，报警内容中文显示，报警持续时间可调</w:t>
      </w:r>
      <w:r>
        <w:rPr>
          <w:rFonts w:hint="eastAsia" w:ascii="宋体" w:hAnsi="宋体" w:eastAsia="宋体" w:cs="宋体"/>
          <w:color w:val="000000"/>
          <w:sz w:val="28"/>
          <w:szCs w:val="28"/>
        </w:rPr>
        <w:t>；</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sz w:val="28"/>
          <w:szCs w:val="28"/>
        </w:rPr>
        <w:t>具有超声传感器信号质量指示功能，以得到准确和稳定的胎心参数值和曲线；</w:t>
      </w:r>
    </w:p>
    <w:p>
      <w:pPr>
        <w:numPr>
          <w:ilvl w:val="0"/>
          <w:numId w:val="1"/>
        </w:numPr>
        <w:spacing w:before="156" w:line="360" w:lineRule="auto"/>
        <w:ind w:firstLineChars="0"/>
        <w:rPr>
          <w:rFonts w:hint="eastAsia" w:ascii="宋体" w:hAnsi="宋体" w:eastAsia="宋体" w:cs="宋体"/>
          <w:sz w:val="28"/>
          <w:szCs w:val="28"/>
        </w:rPr>
      </w:pPr>
      <w:r>
        <w:rPr>
          <w:rFonts w:hint="eastAsia" w:ascii="宋体" w:hAnsi="宋体" w:eastAsia="宋体" w:cs="宋体"/>
          <w:sz w:val="28"/>
          <w:szCs w:val="28"/>
        </w:rPr>
        <w:t>双胎心率重合报警(SOV)，</w:t>
      </w:r>
      <w:r>
        <w:rPr>
          <w:rFonts w:hint="eastAsia" w:ascii="宋体" w:hAnsi="宋体" w:eastAsia="宋体" w:cs="宋体"/>
          <w:sz w:val="28"/>
          <w:szCs w:val="28"/>
          <w:highlight w:val="yellow"/>
        </w:rPr>
        <w:t>母胎心率信号重合验证</w:t>
      </w:r>
      <w:r>
        <w:rPr>
          <w:rFonts w:hint="eastAsia" w:ascii="宋体" w:hAnsi="宋体" w:eastAsia="宋体" w:cs="宋体"/>
          <w:sz w:val="28"/>
          <w:szCs w:val="28"/>
        </w:rPr>
        <w:t>；</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color w:val="FF0000"/>
          <w:sz w:val="28"/>
          <w:szCs w:val="28"/>
        </w:rPr>
        <w:t>★</w:t>
      </w:r>
      <w:r>
        <w:rPr>
          <w:rFonts w:hint="eastAsia" w:ascii="宋体" w:hAnsi="宋体" w:eastAsia="宋体" w:cs="宋体"/>
          <w:color w:val="000000"/>
          <w:sz w:val="28"/>
          <w:szCs w:val="28"/>
        </w:rPr>
        <w:t>在宫缩数值大于50单位的情况下，在界面上弹出禁止测量血压的提示信息；</w:t>
      </w:r>
    </w:p>
    <w:p>
      <w:pPr>
        <w:numPr>
          <w:ilvl w:val="0"/>
          <w:numId w:val="1"/>
        </w:numPr>
        <w:spacing w:before="156" w:line="360" w:lineRule="auto"/>
        <w:ind w:firstLineChars="0"/>
        <w:rPr>
          <w:rFonts w:hint="eastAsia" w:ascii="宋体" w:hAnsi="宋体" w:eastAsia="宋体" w:cs="宋体"/>
          <w:sz w:val="28"/>
          <w:szCs w:val="28"/>
        </w:rPr>
      </w:pPr>
      <w:r>
        <w:rPr>
          <w:rFonts w:hint="eastAsia" w:ascii="宋体" w:hAnsi="宋体" w:eastAsia="宋体" w:cs="宋体"/>
          <w:sz w:val="28"/>
          <w:szCs w:val="28"/>
        </w:rPr>
        <w:t>探头IPX8防水等级；</w:t>
      </w:r>
    </w:p>
    <w:p>
      <w:pPr>
        <w:numPr>
          <w:ilvl w:val="0"/>
          <w:numId w:val="1"/>
        </w:numPr>
        <w:spacing w:before="156" w:line="360" w:lineRule="auto"/>
        <w:ind w:firstLineChars="0"/>
        <w:rPr>
          <w:rFonts w:hint="eastAsia" w:ascii="宋体" w:hAnsi="宋体" w:eastAsia="宋体" w:cs="宋体"/>
          <w:sz w:val="28"/>
          <w:szCs w:val="28"/>
        </w:rPr>
      </w:pPr>
      <w:r>
        <w:rPr>
          <w:rFonts w:hint="eastAsia" w:ascii="宋体" w:hAnsi="宋体" w:eastAsia="宋体" w:cs="宋体"/>
          <w:color w:val="FF0000"/>
          <w:sz w:val="28"/>
          <w:szCs w:val="28"/>
        </w:rPr>
        <w:t>★</w:t>
      </w:r>
      <w:r>
        <w:rPr>
          <w:rFonts w:hint="eastAsia" w:ascii="宋体" w:hAnsi="宋体" w:eastAsia="宋体" w:cs="宋体"/>
          <w:sz w:val="28"/>
          <w:szCs w:val="28"/>
        </w:rPr>
        <w:t>探头可在水下1.1m工作24小时，支持水中分娩，需提供相应检测报告说明；</w:t>
      </w:r>
    </w:p>
    <w:p>
      <w:pPr>
        <w:numPr>
          <w:ilvl w:val="0"/>
          <w:numId w:val="1"/>
        </w:numPr>
        <w:spacing w:before="156" w:line="360" w:lineRule="auto"/>
        <w:ind w:firstLineChars="0"/>
        <w:rPr>
          <w:rFonts w:hint="eastAsia" w:ascii="宋体" w:hAnsi="宋体" w:eastAsia="宋体" w:cs="宋体"/>
          <w:sz w:val="28"/>
          <w:szCs w:val="28"/>
        </w:rPr>
      </w:pPr>
      <w:r>
        <w:rPr>
          <w:rFonts w:hint="eastAsia" w:ascii="宋体" w:hAnsi="宋体" w:eastAsia="宋体" w:cs="宋体"/>
          <w:color w:val="FF0000"/>
          <w:sz w:val="28"/>
          <w:szCs w:val="28"/>
        </w:rPr>
        <w:t>★</w:t>
      </w:r>
      <w:r>
        <w:rPr>
          <w:rFonts w:hint="eastAsia" w:ascii="宋体" w:hAnsi="宋体" w:eastAsia="宋体" w:cs="宋体"/>
          <w:sz w:val="28"/>
          <w:szCs w:val="28"/>
        </w:rPr>
        <w:t>宫缩压探头采用防水透气设计，不受水压和温度变化影响，确保TOCO测量的精准性，需提供相应的专利文件说明；</w:t>
      </w:r>
    </w:p>
    <w:p>
      <w:pPr>
        <w:numPr>
          <w:ilvl w:val="0"/>
          <w:numId w:val="1"/>
        </w:numPr>
        <w:spacing w:before="156" w:line="360" w:lineRule="auto"/>
        <w:ind w:firstLineChars="0"/>
        <w:rPr>
          <w:rFonts w:hint="eastAsia" w:ascii="宋体" w:hAnsi="宋体" w:eastAsia="宋体" w:cs="宋体"/>
          <w:sz w:val="28"/>
          <w:szCs w:val="28"/>
        </w:rPr>
      </w:pPr>
      <w:r>
        <w:rPr>
          <w:rFonts w:hint="eastAsia" w:ascii="宋体" w:hAnsi="宋体" w:eastAsia="宋体" w:cs="宋体"/>
          <w:sz w:val="28"/>
          <w:szCs w:val="28"/>
        </w:rPr>
        <w:t>内置通讯接口，可与中央站组成网络系统；</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color w:val="FF0000"/>
          <w:sz w:val="28"/>
          <w:szCs w:val="28"/>
        </w:rPr>
        <w:t>★</w:t>
      </w:r>
      <w:r>
        <w:rPr>
          <w:rFonts w:hint="eastAsia" w:ascii="宋体" w:hAnsi="宋体" w:eastAsia="宋体" w:cs="宋体"/>
          <w:sz w:val="28"/>
          <w:szCs w:val="28"/>
        </w:rPr>
        <w:t>支持拓展无线探头，支持无线双胎心监护，无线探头采用自识别探头基座设计，</w:t>
      </w:r>
      <w:r>
        <w:rPr>
          <w:rFonts w:hint="eastAsia" w:ascii="宋体" w:hAnsi="宋体" w:eastAsia="宋体" w:cs="宋体"/>
          <w:color w:val="000000"/>
          <w:sz w:val="28"/>
          <w:szCs w:val="28"/>
        </w:rPr>
        <w:t>随意安放，无线探头工作距离＞100m，内置锂电池≥15小时的超强续航能力；</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color w:val="FF0000"/>
          <w:sz w:val="28"/>
          <w:szCs w:val="28"/>
        </w:rPr>
        <w:t>★</w:t>
      </w:r>
      <w:r>
        <w:rPr>
          <w:rFonts w:hint="eastAsia" w:ascii="宋体" w:hAnsi="宋体" w:eastAsia="宋体" w:cs="宋体"/>
          <w:color w:val="000000"/>
          <w:sz w:val="28"/>
          <w:szCs w:val="28"/>
        </w:rPr>
        <w:t>可选配无线TOCO探头外接心电导联线测量母亲心率</w:t>
      </w:r>
    </w:p>
    <w:p>
      <w:pPr>
        <w:numPr>
          <w:ilvl w:val="0"/>
          <w:numId w:val="1"/>
        </w:numPr>
        <w:spacing w:before="156" w:line="360" w:lineRule="auto"/>
        <w:ind w:firstLineChars="0"/>
        <w:rPr>
          <w:rFonts w:hint="eastAsia" w:ascii="宋体" w:hAnsi="宋体" w:eastAsia="宋体" w:cs="宋体"/>
          <w:color w:val="000000"/>
          <w:sz w:val="28"/>
          <w:szCs w:val="28"/>
        </w:rPr>
      </w:pPr>
      <w:r>
        <w:rPr>
          <w:rFonts w:hint="eastAsia" w:ascii="宋体" w:hAnsi="宋体" w:eastAsia="宋体" w:cs="宋体"/>
          <w:color w:val="FF0000"/>
          <w:sz w:val="28"/>
          <w:szCs w:val="28"/>
        </w:rPr>
        <w:t>★</w:t>
      </w:r>
      <w:r>
        <w:rPr>
          <w:rFonts w:hint="eastAsia" w:ascii="宋体" w:hAnsi="宋体" w:eastAsia="宋体" w:cs="宋体"/>
          <w:color w:val="000000"/>
          <w:sz w:val="28"/>
          <w:szCs w:val="28"/>
        </w:rPr>
        <w:t>通过美国FDA认证；</w:t>
      </w:r>
    </w:p>
    <w:p>
      <w:pPr>
        <w:spacing w:before="156" w:line="360" w:lineRule="auto"/>
        <w:ind w:left="407" w:firstLine="0" w:firstLineChars="0"/>
        <w:rPr>
          <w:rFonts w:hint="eastAsia" w:ascii="宋体" w:hAnsi="宋体" w:eastAsia="宋体" w:cs="宋体"/>
          <w:color w:val="000000"/>
          <w:sz w:val="28"/>
          <w:szCs w:val="28"/>
        </w:rPr>
      </w:pPr>
    </w:p>
    <w:p>
      <w:pPr>
        <w:pStyle w:val="2"/>
        <w:rPr>
          <w:rFonts w:hint="eastAsia" w:ascii="宋体" w:hAnsi="宋体" w:eastAsia="宋体" w:cs="宋体"/>
          <w:sz w:val="28"/>
          <w:szCs w:val="28"/>
        </w:rPr>
      </w:pPr>
    </w:p>
    <w:p>
      <w:pPr>
        <w:pStyle w:val="3"/>
        <w:rPr>
          <w:rFonts w:hint="eastAsia" w:ascii="宋体" w:hAnsi="宋体" w:eastAsia="宋体" w:cs="宋体"/>
          <w:sz w:val="28"/>
          <w:szCs w:val="28"/>
        </w:rPr>
      </w:pPr>
    </w:p>
    <w:p>
      <w:pPr>
        <w:widowControl/>
        <w:spacing w:line="360" w:lineRule="auto"/>
        <w:jc w:val="center"/>
        <w:rPr>
          <w:rFonts w:hint="eastAsia" w:ascii="黑体" w:hAnsi="黑体" w:eastAsia="黑体" w:cs="黑体"/>
          <w:b/>
          <w:color w:val="auto"/>
          <w:sz w:val="32"/>
          <w:szCs w:val="32"/>
          <w:lang w:val="en-US" w:eastAsia="zh-CN"/>
        </w:rPr>
      </w:pPr>
      <w:r>
        <w:rPr>
          <w:rFonts w:hint="eastAsia" w:ascii="黑体" w:hAnsi="黑体" w:eastAsia="黑体" w:cs="黑体"/>
          <w:b/>
          <w:color w:val="auto"/>
          <w:sz w:val="32"/>
          <w:szCs w:val="32"/>
          <w:lang w:val="en-US" w:eastAsia="zh-CN"/>
        </w:rPr>
        <w:t>响应文件格式</w:t>
      </w:r>
    </w:p>
    <w:p>
      <w:pPr>
        <w:widowControl/>
        <w:spacing w:line="360" w:lineRule="auto"/>
        <w:jc w:val="center"/>
        <w:rPr>
          <w:rFonts w:hint="eastAsia" w:ascii="宋体" w:hAnsi="宋体" w:eastAsia="宋体" w:cs="宋体"/>
          <w:b/>
          <w:bCs/>
          <w:color w:val="auto"/>
          <w:sz w:val="28"/>
          <w:szCs w:val="28"/>
        </w:rPr>
      </w:pPr>
      <w:r>
        <w:rPr>
          <w:rFonts w:hint="eastAsia" w:ascii="宋体" w:hAnsi="宋体" w:eastAsia="宋体" w:cs="宋体"/>
          <w:b/>
          <w:bCs/>
          <w:sz w:val="28"/>
          <w:szCs w:val="28"/>
          <w:lang w:val="en-US" w:eastAsia="zh-CN"/>
        </w:rPr>
        <w:t xml:space="preserve">1. </w:t>
      </w:r>
      <w:r>
        <w:rPr>
          <w:rFonts w:hint="eastAsia" w:ascii="宋体" w:hAnsi="宋体" w:eastAsia="宋体" w:cs="宋体"/>
          <w:b/>
          <w:bCs/>
          <w:sz w:val="28"/>
          <w:szCs w:val="28"/>
        </w:rPr>
        <w:t>供应商法人身份证复印件、经办人身份证复印件、经办人授权书</w:t>
      </w:r>
    </w:p>
    <w:p>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1.1</w:t>
      </w:r>
      <w:r>
        <w:rPr>
          <w:rFonts w:hint="eastAsia" w:ascii="宋体" w:hAnsi="宋体" w:eastAsia="宋体" w:cs="宋体"/>
          <w:b/>
          <w:color w:val="auto"/>
          <w:sz w:val="28"/>
          <w:szCs w:val="28"/>
        </w:rPr>
        <w:t>法定代表人身份证明</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申请人名称：</w:t>
      </w:r>
      <w:r>
        <w:rPr>
          <w:rFonts w:hint="eastAsia" w:ascii="宋体" w:hAnsi="宋体" w:eastAsia="宋体" w:cs="宋体"/>
          <w:color w:val="auto"/>
          <w:sz w:val="28"/>
          <w:szCs w:val="28"/>
          <w:u w:val="single"/>
        </w:rPr>
        <w:t xml:space="preserve">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（申请人名称）的法定代表人。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特此证明。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pPr>
        <w:spacing w:line="360" w:lineRule="auto"/>
        <w:rPr>
          <w:rFonts w:hint="eastAsia" w:ascii="宋体" w:hAnsi="宋体" w:eastAsia="宋体" w:cs="宋体"/>
          <w:color w:val="auto"/>
          <w:sz w:val="28"/>
          <w:szCs w:val="28"/>
        </w:rPr>
      </w:pPr>
    </w:p>
    <w:tbl>
      <w:tblPr>
        <w:tblStyle w:val="10"/>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附：法定代表人身份证正面复印件</w:t>
            </w:r>
          </w:p>
          <w:p>
            <w:pPr>
              <w:spacing w:line="500" w:lineRule="exact"/>
              <w:rPr>
                <w:rFonts w:hint="eastAsia" w:ascii="宋体" w:hAnsi="宋体" w:eastAsia="宋体" w:cs="宋体"/>
                <w:color w:val="auto"/>
                <w:sz w:val="28"/>
                <w:szCs w:val="28"/>
              </w:rPr>
            </w:pPr>
          </w:p>
          <w:p>
            <w:pPr>
              <w:spacing w:line="500" w:lineRule="exact"/>
              <w:rPr>
                <w:rFonts w:hint="eastAsia" w:ascii="宋体" w:hAnsi="宋体" w:eastAsia="宋体" w:cs="宋体"/>
                <w:color w:val="auto"/>
                <w:sz w:val="28"/>
                <w:szCs w:val="28"/>
              </w:rPr>
            </w:pPr>
          </w:p>
          <w:p>
            <w:pPr>
              <w:spacing w:line="500" w:lineRule="exact"/>
              <w:rPr>
                <w:rFonts w:hint="eastAsia" w:ascii="宋体" w:hAnsi="宋体" w:eastAsia="宋体" w:cs="宋体"/>
                <w:color w:val="auto"/>
                <w:sz w:val="28"/>
                <w:szCs w:val="28"/>
              </w:rPr>
            </w:pPr>
          </w:p>
          <w:p>
            <w:pPr>
              <w:spacing w:line="500" w:lineRule="exact"/>
              <w:rPr>
                <w:rFonts w:hint="eastAsia" w:ascii="宋体" w:hAnsi="宋体" w:eastAsia="宋体" w:cs="宋体"/>
                <w:color w:val="auto"/>
                <w:sz w:val="28"/>
                <w:szCs w:val="28"/>
              </w:rPr>
            </w:pPr>
          </w:p>
        </w:tc>
        <w:tc>
          <w:tcPr>
            <w:tcW w:w="4606" w:type="dxa"/>
            <w:noWrap w:val="0"/>
            <w:vAlign w:val="top"/>
          </w:tcPr>
          <w:p>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附：法定代表人身份证背面复印件</w:t>
            </w:r>
          </w:p>
          <w:p>
            <w:pPr>
              <w:widowControl/>
              <w:jc w:val="left"/>
              <w:rPr>
                <w:rFonts w:hint="eastAsia" w:ascii="宋体" w:hAnsi="宋体" w:eastAsia="宋体" w:cs="宋体"/>
                <w:color w:val="auto"/>
                <w:sz w:val="28"/>
                <w:szCs w:val="28"/>
              </w:rPr>
            </w:pPr>
          </w:p>
          <w:p>
            <w:pPr>
              <w:widowControl/>
              <w:jc w:val="left"/>
              <w:rPr>
                <w:rFonts w:hint="eastAsia" w:ascii="宋体" w:hAnsi="宋体" w:eastAsia="宋体" w:cs="宋体"/>
                <w:color w:val="auto"/>
                <w:sz w:val="28"/>
                <w:szCs w:val="28"/>
              </w:rPr>
            </w:pPr>
          </w:p>
          <w:p>
            <w:pPr>
              <w:widowControl/>
              <w:jc w:val="left"/>
              <w:rPr>
                <w:rFonts w:hint="eastAsia" w:ascii="宋体" w:hAnsi="宋体" w:eastAsia="宋体" w:cs="宋体"/>
                <w:color w:val="auto"/>
                <w:sz w:val="28"/>
                <w:szCs w:val="28"/>
              </w:rPr>
            </w:pPr>
          </w:p>
          <w:p>
            <w:pPr>
              <w:widowControl/>
              <w:jc w:val="left"/>
              <w:rPr>
                <w:rFonts w:hint="eastAsia" w:ascii="宋体" w:hAnsi="宋体" w:eastAsia="宋体" w:cs="宋体"/>
                <w:color w:val="auto"/>
                <w:sz w:val="28"/>
                <w:szCs w:val="28"/>
              </w:rPr>
            </w:pPr>
          </w:p>
          <w:p>
            <w:pPr>
              <w:spacing w:line="500" w:lineRule="exact"/>
              <w:rPr>
                <w:rFonts w:hint="eastAsia" w:ascii="宋体" w:hAnsi="宋体" w:eastAsia="宋体" w:cs="宋体"/>
                <w:color w:val="auto"/>
                <w:sz w:val="28"/>
                <w:szCs w:val="28"/>
              </w:rPr>
            </w:pPr>
          </w:p>
          <w:p>
            <w:pPr>
              <w:spacing w:line="500" w:lineRule="exact"/>
              <w:rPr>
                <w:rFonts w:hint="eastAsia" w:ascii="宋体" w:hAnsi="宋体" w:eastAsia="宋体" w:cs="宋体"/>
                <w:color w:val="auto"/>
                <w:sz w:val="28"/>
                <w:szCs w:val="28"/>
              </w:rPr>
            </w:pPr>
          </w:p>
        </w:tc>
      </w:tr>
    </w:tbl>
    <w:p>
      <w:pPr>
        <w:spacing w:line="360" w:lineRule="auto"/>
        <w:rPr>
          <w:rFonts w:hint="eastAsia" w:ascii="宋体" w:hAnsi="宋体" w:eastAsia="宋体" w:cs="宋体"/>
          <w:color w:val="auto"/>
          <w:sz w:val="28"/>
          <w:szCs w:val="28"/>
        </w:rPr>
      </w:pPr>
    </w:p>
    <w:p>
      <w:pPr>
        <w:widowControl/>
        <w:spacing w:line="360" w:lineRule="auto"/>
        <w:jc w:val="center"/>
        <w:rPr>
          <w:rFonts w:hint="eastAsia" w:ascii="宋体" w:hAnsi="宋体" w:eastAsia="宋体" w:cs="宋体"/>
          <w:b/>
          <w:color w:val="auto"/>
          <w:sz w:val="28"/>
          <w:szCs w:val="28"/>
          <w:lang w:val="en-US" w:eastAsia="zh-CN"/>
        </w:rPr>
      </w:pPr>
    </w:p>
    <w:p>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1.2</w:t>
      </w:r>
      <w:r>
        <w:rPr>
          <w:rFonts w:hint="eastAsia" w:ascii="宋体" w:hAnsi="宋体" w:eastAsia="宋体" w:cs="宋体"/>
          <w:b/>
          <w:color w:val="auto"/>
          <w:sz w:val="28"/>
          <w:szCs w:val="28"/>
        </w:rPr>
        <w:t>法定代表人授权委托书</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本人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（申请人名称）的法定代表人，现委托</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（姓名）为我方代理人。代理人根据授权，以我方名义签署、澄清、递交、撤回、修改</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填写项目名称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 xml:space="preserve">招标资格审查申请文件，其法律后果由我方承担。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代理人无转委托权。 </w:t>
      </w:r>
    </w:p>
    <w:p>
      <w:pPr>
        <w:rPr>
          <w:rFonts w:hint="eastAsia" w:ascii="宋体" w:hAnsi="宋体" w:eastAsia="宋体" w:cs="宋体"/>
          <w:color w:val="auto"/>
          <w:sz w:val="28"/>
          <w:szCs w:val="28"/>
        </w:rPr>
      </w:pPr>
    </w:p>
    <w:p>
      <w:pPr>
        <w:rPr>
          <w:rFonts w:hint="eastAsia" w:ascii="宋体" w:hAnsi="宋体" w:eastAsia="宋体" w:cs="宋体"/>
          <w:color w:val="auto"/>
          <w:sz w:val="28"/>
          <w:szCs w:val="28"/>
        </w:rPr>
      </w:pPr>
      <w:r>
        <w:rPr>
          <w:rFonts w:hint="eastAsia" w:ascii="宋体" w:hAnsi="宋体" w:eastAsia="宋体" w:cs="宋体"/>
          <w:color w:val="auto"/>
          <w:sz w:val="28"/>
          <w:szCs w:val="28"/>
        </w:rPr>
        <w:t>附：法定代表授权委托人身份证复印件</w:t>
      </w:r>
    </w:p>
    <w:p>
      <w:pPr>
        <w:spacing w:line="360" w:lineRule="auto"/>
        <w:rPr>
          <w:rFonts w:hint="eastAsia" w:ascii="宋体" w:hAnsi="宋体" w:eastAsia="宋体" w:cs="宋体"/>
          <w:color w:val="auto"/>
          <w:sz w:val="28"/>
          <w:szCs w:val="28"/>
        </w:rPr>
      </w:pP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w:t>
      </w:r>
    </w:p>
    <w:p>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tbl>
      <w:tblPr>
        <w:tblStyle w:val="10"/>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附：授权委托人身份证正面复印件</w:t>
            </w:r>
          </w:p>
          <w:p>
            <w:pPr>
              <w:spacing w:line="500" w:lineRule="exact"/>
              <w:rPr>
                <w:rFonts w:hint="eastAsia" w:ascii="宋体" w:hAnsi="宋体" w:eastAsia="宋体" w:cs="宋体"/>
                <w:color w:val="auto"/>
                <w:sz w:val="28"/>
                <w:szCs w:val="28"/>
              </w:rPr>
            </w:pPr>
          </w:p>
          <w:p>
            <w:pPr>
              <w:spacing w:line="500" w:lineRule="exact"/>
              <w:rPr>
                <w:rFonts w:hint="eastAsia" w:ascii="宋体" w:hAnsi="宋体" w:eastAsia="宋体" w:cs="宋体"/>
                <w:color w:val="auto"/>
                <w:sz w:val="28"/>
                <w:szCs w:val="28"/>
              </w:rPr>
            </w:pPr>
          </w:p>
          <w:p>
            <w:pPr>
              <w:spacing w:line="500" w:lineRule="exact"/>
              <w:rPr>
                <w:rFonts w:hint="eastAsia" w:ascii="宋体" w:hAnsi="宋体" w:eastAsia="宋体" w:cs="宋体"/>
                <w:color w:val="auto"/>
                <w:sz w:val="28"/>
                <w:szCs w:val="28"/>
              </w:rPr>
            </w:pPr>
          </w:p>
        </w:tc>
        <w:tc>
          <w:tcPr>
            <w:tcW w:w="4777" w:type="dxa"/>
            <w:noWrap w:val="0"/>
            <w:vAlign w:val="top"/>
          </w:tcPr>
          <w:p>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附：授权委托人身份证背面复印件</w:t>
            </w:r>
          </w:p>
          <w:p>
            <w:pPr>
              <w:widowControl/>
              <w:jc w:val="left"/>
              <w:rPr>
                <w:rFonts w:hint="eastAsia" w:ascii="宋体" w:hAnsi="宋体" w:eastAsia="宋体" w:cs="宋体"/>
                <w:color w:val="auto"/>
                <w:sz w:val="28"/>
                <w:szCs w:val="28"/>
              </w:rPr>
            </w:pPr>
          </w:p>
          <w:p>
            <w:pPr>
              <w:widowControl/>
              <w:jc w:val="left"/>
              <w:rPr>
                <w:rFonts w:hint="eastAsia" w:ascii="宋体" w:hAnsi="宋体" w:eastAsia="宋体" w:cs="宋体"/>
                <w:color w:val="auto"/>
                <w:sz w:val="28"/>
                <w:szCs w:val="28"/>
              </w:rPr>
            </w:pPr>
          </w:p>
          <w:p>
            <w:pPr>
              <w:spacing w:line="500" w:lineRule="exact"/>
              <w:rPr>
                <w:rFonts w:hint="eastAsia" w:ascii="宋体" w:hAnsi="宋体" w:eastAsia="宋体" w:cs="宋体"/>
                <w:color w:val="auto"/>
                <w:sz w:val="28"/>
                <w:szCs w:val="28"/>
              </w:rPr>
            </w:pPr>
          </w:p>
        </w:tc>
      </w:tr>
    </w:tbl>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2. 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eastAsia="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0" w:firstLineChars="200"/>
        <w:rPr>
          <w:rFonts w:hint="eastAsia" w:ascii="宋体" w:hAnsi="宋体" w:eastAsia="宋体" w:cs="宋体"/>
          <w:b w:val="0"/>
          <w:bCs w:val="0"/>
          <w:sz w:val="28"/>
          <w:szCs w:val="28"/>
          <w:lang w:val="en-US"/>
        </w:rPr>
      </w:pPr>
      <w:r>
        <w:rPr>
          <w:rFonts w:hint="eastAsia" w:ascii="宋体" w:hAnsi="宋体" w:eastAsia="宋体" w:cs="宋体"/>
          <w:b w:val="0"/>
          <w:bCs w:val="0"/>
          <w:sz w:val="28"/>
          <w:szCs w:val="28"/>
          <w:lang w:val="en-US" w:eastAsia="zh-CN"/>
        </w:rPr>
        <w:t>2.2</w:t>
      </w:r>
      <w:r>
        <w:rPr>
          <w:rFonts w:hint="eastAsia" w:ascii="宋体" w:hAnsi="宋体" w:eastAsia="宋体" w:cs="宋体"/>
          <w:b w:val="0"/>
          <w:bCs w:val="0"/>
          <w:sz w:val="28"/>
          <w:szCs w:val="28"/>
          <w:lang w:val="en-US"/>
        </w:rPr>
        <w:t>投标人根据自身情况提供以</w:t>
      </w:r>
      <w:r>
        <w:rPr>
          <w:rFonts w:hint="eastAsia" w:ascii="宋体" w:hAnsi="宋体" w:eastAsia="宋体" w:cs="宋体"/>
          <w:b w:val="0"/>
          <w:bCs w:val="0"/>
          <w:sz w:val="28"/>
          <w:szCs w:val="28"/>
          <w:lang w:val="en-US" w:eastAsia="zh-CN"/>
        </w:rPr>
        <w:t>下</w:t>
      </w:r>
      <w:r>
        <w:rPr>
          <w:rFonts w:hint="eastAsia" w:ascii="宋体" w:hAnsi="宋体" w:eastAsia="宋体" w:cs="宋体"/>
          <w:b w:val="0"/>
          <w:bCs w:val="0"/>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eastAsia="zh-CN"/>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widowControl/>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2"/>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pPr>
        <w:pStyle w:val="5"/>
        <w:ind w:left="0" w:leftChars="0" w:firstLine="0" w:firstLineChars="0"/>
        <w:jc w:val="both"/>
        <w:rPr>
          <w:rFonts w:hint="eastAsia" w:ascii="宋体" w:hAnsi="宋体" w:eastAsia="宋体" w:cs="宋体"/>
          <w:b w:val="0"/>
          <w:bCs/>
          <w:color w:val="auto"/>
          <w:kern w:val="2"/>
          <w:sz w:val="28"/>
          <w:szCs w:val="28"/>
          <w:lang w:val="en-US" w:eastAsia="zh-CN" w:bidi="ar-SA"/>
        </w:rPr>
      </w:pPr>
    </w:p>
    <w:p>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2.6</w:t>
      </w:r>
      <w:r>
        <w:rPr>
          <w:rFonts w:hint="eastAsia" w:ascii="宋体" w:hAnsi="宋体" w:eastAsia="宋体" w:cs="宋体"/>
          <w:b/>
          <w:bCs/>
          <w:sz w:val="28"/>
          <w:szCs w:val="28"/>
          <w:lang w:val="en-US"/>
        </w:rPr>
        <w:t>参加政府采购活动前三年内，在经营活动中</w:t>
      </w:r>
      <w:r>
        <w:rPr>
          <w:rFonts w:hint="eastAsia" w:ascii="宋体" w:hAnsi="宋体" w:eastAsia="宋体" w:cs="宋体"/>
          <w:b/>
          <w:bCs/>
          <w:sz w:val="28"/>
          <w:szCs w:val="28"/>
          <w:lang w:val="en-US" w:eastAsia="zh-CN"/>
        </w:rPr>
        <w:t>无</w:t>
      </w:r>
      <w:r>
        <w:rPr>
          <w:rFonts w:hint="eastAsia" w:ascii="宋体" w:hAnsi="宋体" w:eastAsia="宋体" w:cs="宋体"/>
          <w:b/>
          <w:bCs/>
          <w:sz w:val="28"/>
          <w:szCs w:val="28"/>
          <w:lang w:val="en-US"/>
        </w:rPr>
        <w:t>重大违法</w:t>
      </w:r>
      <w:r>
        <w:rPr>
          <w:rFonts w:hint="eastAsia" w:ascii="宋体" w:hAnsi="宋体" w:eastAsia="宋体" w:cs="宋体"/>
          <w:b/>
          <w:bCs/>
          <w:sz w:val="28"/>
          <w:szCs w:val="28"/>
          <w:lang w:val="en-US" w:eastAsia="zh-CN"/>
        </w:rPr>
        <w:t>、违规违纪</w:t>
      </w:r>
      <w:r>
        <w:rPr>
          <w:rFonts w:hint="eastAsia" w:ascii="宋体" w:hAnsi="宋体" w:eastAsia="宋体" w:cs="宋体"/>
          <w:b/>
          <w:bCs/>
          <w:sz w:val="28"/>
          <w:szCs w:val="28"/>
          <w:lang w:val="en-US"/>
        </w:rPr>
        <w:t>记录</w:t>
      </w:r>
      <w:r>
        <w:rPr>
          <w:rFonts w:hint="eastAsia" w:ascii="宋体" w:hAnsi="宋体" w:eastAsia="宋体" w:cs="宋体"/>
          <w:b/>
          <w:bCs/>
          <w:sz w:val="28"/>
          <w:szCs w:val="28"/>
          <w:lang w:val="en-US" w:eastAsia="zh-CN"/>
        </w:rPr>
        <w:t>。</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2.6.1</w:t>
      </w:r>
      <w:r>
        <w:rPr>
          <w:rFonts w:hint="eastAsia" w:ascii="宋体" w:hAnsi="宋体" w:eastAsia="宋体" w:cs="宋体"/>
          <w:sz w:val="28"/>
          <w:szCs w:val="28"/>
          <w:lang w:val="en-US"/>
        </w:rPr>
        <w:t>提供参加政府采购活动前三年内在经营活动中</w:t>
      </w:r>
      <w:r>
        <w:rPr>
          <w:rFonts w:hint="eastAsia" w:ascii="宋体" w:hAnsi="宋体" w:eastAsia="宋体" w:cs="宋体"/>
          <w:sz w:val="28"/>
          <w:szCs w:val="28"/>
          <w:lang w:val="en-US" w:eastAsia="zh-CN"/>
        </w:rPr>
        <w:t>无</w:t>
      </w:r>
      <w:r>
        <w:rPr>
          <w:rFonts w:hint="eastAsia" w:ascii="宋体" w:hAnsi="宋体" w:eastAsia="宋体" w:cs="宋体"/>
          <w:sz w:val="28"/>
          <w:szCs w:val="28"/>
          <w:lang w:val="en-US"/>
        </w:rPr>
        <w:t>重大违法</w:t>
      </w:r>
      <w:r>
        <w:rPr>
          <w:rFonts w:hint="eastAsia" w:ascii="宋体" w:hAnsi="宋体" w:eastAsia="宋体" w:cs="宋体"/>
          <w:sz w:val="28"/>
          <w:szCs w:val="28"/>
          <w:lang w:val="en-US" w:eastAsia="zh-CN"/>
        </w:rPr>
        <w:t>、违规违纪</w:t>
      </w:r>
      <w:r>
        <w:rPr>
          <w:rFonts w:hint="eastAsia" w:ascii="宋体" w:hAnsi="宋体" w:eastAsia="宋体" w:cs="宋体"/>
          <w:sz w:val="28"/>
          <w:szCs w:val="28"/>
          <w:lang w:val="en-US"/>
        </w:rPr>
        <w:t>的书面声明</w:t>
      </w:r>
      <w:r>
        <w:rPr>
          <w:rFonts w:hint="eastAsia" w:ascii="宋体" w:hAnsi="宋体" w:eastAsia="宋体" w:cs="宋体"/>
          <w:sz w:val="28"/>
          <w:szCs w:val="28"/>
          <w:lang w:val="en-US" w:eastAsia="zh-CN"/>
        </w:rPr>
        <w:t>。</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jc w:val="center"/>
        <w:rPr>
          <w:rFonts w:hint="eastAsia" w:ascii="宋体" w:hAnsi="宋体" w:eastAsia="宋体" w:cs="宋体"/>
          <w:b/>
          <w:bCs/>
          <w:sz w:val="28"/>
          <w:szCs w:val="28"/>
          <w:lang w:val="en-US" w:eastAsia="zh-CN"/>
        </w:rPr>
      </w:pPr>
    </w:p>
    <w:p>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无重大违法、无违规违纪书面声明</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致：[采购单位/招标代理机构名称] </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pPr>
        <w:rPr>
          <w:rFonts w:hint="eastAsia" w:ascii="宋体" w:hAnsi="宋体" w:eastAsia="宋体" w:cs="宋体"/>
          <w:sz w:val="28"/>
          <w:szCs w:val="28"/>
          <w:lang w:val="en-US" w:eastAsia="zh-CN"/>
        </w:rPr>
      </w:pPr>
    </w:p>
    <w:p>
      <w:pPr>
        <w:bidi w:val="0"/>
        <w:ind w:left="0" w:leftChars="0" w:firstLine="0" w:firstLineChars="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 投标人资质证明材料：</w:t>
      </w:r>
    </w:p>
    <w:p>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 技术部分：</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4.1技术偏离表：</w:t>
      </w:r>
    </w:p>
    <w:tbl>
      <w:tblPr>
        <w:tblStyle w:val="10"/>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设备</w:t>
            </w:r>
            <w:r>
              <w:rPr>
                <w:rFonts w:hint="eastAsia" w:ascii="宋体" w:hAnsi="宋体" w:eastAsia="宋体" w:cs="宋体"/>
                <w:color w:val="auto"/>
                <w:sz w:val="28"/>
                <w:szCs w:val="28"/>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采购</w:t>
            </w:r>
            <w:r>
              <w:rPr>
                <w:rFonts w:hint="eastAsia" w:ascii="宋体" w:hAnsi="宋体" w:eastAsia="宋体" w:cs="宋体"/>
                <w:color w:val="auto"/>
                <w:sz w:val="28"/>
                <w:szCs w:val="28"/>
                <w:highlight w:val="none"/>
              </w:rPr>
              <w:t>技术</w:t>
            </w:r>
            <w:r>
              <w:rPr>
                <w:rFonts w:hint="eastAsia" w:ascii="宋体" w:hAnsi="宋体" w:eastAsia="宋体" w:cs="宋体"/>
                <w:color w:val="auto"/>
                <w:sz w:val="28"/>
                <w:szCs w:val="28"/>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技术</w:t>
            </w:r>
            <w:r>
              <w:rPr>
                <w:rFonts w:hint="eastAsia" w:ascii="宋体" w:hAnsi="宋体" w:eastAsia="宋体" w:cs="宋体"/>
                <w:color w:val="auto"/>
                <w:sz w:val="28"/>
                <w:szCs w:val="28"/>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技术参数出现偏离的技术原因以及涉及产品对应技术参数的技术材料所在位置（</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560" w:firstLineChars="200"/>
              <w:jc w:val="center"/>
              <w:rPr>
                <w:rFonts w:hint="eastAsia" w:ascii="宋体" w:hAnsi="宋体" w:eastAsia="宋体" w:cs="宋体"/>
                <w:color w:val="auto"/>
                <w:sz w:val="28"/>
                <w:szCs w:val="28"/>
                <w:highlight w:val="none"/>
              </w:rPr>
            </w:pPr>
          </w:p>
        </w:tc>
      </w:tr>
    </w:tbl>
    <w:p>
      <w:pPr>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4.2产品技术资料，含产品彩页、产品说明书等。</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4.3产品质量保证及售后服务承诺。</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4.4供应商认为须提供的其他材料。</w:t>
      </w:r>
    </w:p>
    <w:p>
      <w:pPr>
        <w:bidi w:val="0"/>
        <w:jc w:val="left"/>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pStyle w:val="3"/>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pStyle w:val="3"/>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pStyle w:val="3"/>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pStyle w:val="3"/>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lang w:val="en-US" w:eastAsia="zh-CN"/>
        </w:rPr>
      </w:pPr>
    </w:p>
    <w:p>
      <w:pPr>
        <w:bidi w:val="0"/>
        <w:ind w:left="0" w:leftChars="0" w:firstLine="0" w:firstLineChars="0"/>
        <w:rPr>
          <w:rFonts w:hint="eastAsia" w:ascii="宋体" w:hAnsi="宋体" w:eastAsia="宋体" w:cs="宋体"/>
          <w:b/>
          <w:bCs/>
          <w:color w:val="auto"/>
          <w:sz w:val="28"/>
          <w:szCs w:val="28"/>
          <w:lang w:val="en-US" w:eastAsia="zh-CN"/>
        </w:rPr>
        <w:sectPr>
          <w:pgSz w:w="11906" w:h="16838"/>
          <w:pgMar w:top="1440" w:right="1800" w:bottom="1440" w:left="1800" w:header="851" w:footer="992" w:gutter="0"/>
          <w:cols w:space="425" w:num="1"/>
          <w:docGrid w:type="lines" w:linePitch="312" w:charSpace="0"/>
        </w:sectPr>
      </w:pPr>
    </w:p>
    <w:p>
      <w:pPr>
        <w:bidi w:val="0"/>
        <w:ind w:left="0" w:leftChars="0" w:firstLine="0" w:firstLineChars="0"/>
        <w:rPr>
          <w:rFonts w:hint="eastAsia" w:ascii="宋体" w:hAnsi="宋体" w:eastAsia="宋体" w:cs="宋体"/>
          <w:sz w:val="28"/>
          <w:szCs w:val="28"/>
          <w:lang w:val="en-US" w:eastAsia="zh-CN"/>
        </w:rPr>
      </w:pPr>
      <w:r>
        <w:rPr>
          <w:rFonts w:hint="eastAsia" w:ascii="宋体" w:hAnsi="宋体" w:eastAsia="宋体" w:cs="宋体"/>
          <w:b/>
          <w:bCs/>
          <w:color w:val="auto"/>
          <w:sz w:val="28"/>
          <w:szCs w:val="28"/>
          <w:lang w:val="en-US" w:eastAsia="zh-CN"/>
        </w:rPr>
        <w:t>4.5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val="0"/>
          <w:bCs w:val="0"/>
          <w:color w:val="auto"/>
          <w:sz w:val="28"/>
          <w:szCs w:val="28"/>
          <w:lang w:val="en-US" w:eastAsia="zh-CN"/>
        </w:rPr>
        <w:t>供应商除1份放置于响应文件外另自行准备至少3份用于二次报价。</w:t>
      </w:r>
    </w:p>
    <w:p>
      <w:pPr>
        <w:jc w:val="center"/>
        <w:rPr>
          <w:rFonts w:hint="eastAsia" w:ascii="宋体" w:hAnsi="宋体" w:eastAsia="宋体" w:cs="宋体"/>
          <w:sz w:val="28"/>
          <w:szCs w:val="28"/>
        </w:rPr>
      </w:pPr>
      <w:r>
        <w:rPr>
          <w:rFonts w:hint="eastAsia" w:ascii="宋体" w:hAnsi="宋体" w:eastAsia="宋体" w:cs="宋体"/>
          <w:sz w:val="28"/>
          <w:szCs w:val="28"/>
          <w:lang w:val="en-US" w:eastAsia="zh-CN"/>
        </w:rPr>
        <w:t>腾冲市</w:t>
      </w:r>
      <w:r>
        <w:rPr>
          <w:rFonts w:hint="eastAsia" w:ascii="宋体" w:hAnsi="宋体" w:eastAsia="宋体" w:cs="宋体"/>
          <w:sz w:val="28"/>
          <w:szCs w:val="28"/>
        </w:rPr>
        <w:t>人民医院</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color w:val="auto"/>
          <w:sz w:val="28"/>
          <w:szCs w:val="28"/>
          <w:u w:val="single"/>
          <w:lang w:eastAsia="zh-CN"/>
        </w:rPr>
        <w:t>（</w:t>
      </w:r>
      <w:r>
        <w:rPr>
          <w:rFonts w:hint="eastAsia" w:ascii="宋体" w:hAnsi="宋体" w:eastAsia="宋体" w:cs="宋体"/>
          <w:color w:val="FF0000"/>
          <w:sz w:val="28"/>
          <w:szCs w:val="28"/>
          <w:u w:val="single"/>
          <w:lang w:eastAsia="zh-CN"/>
        </w:rPr>
        <w:t>标段：</w:t>
      </w:r>
      <w:r>
        <w:rPr>
          <w:rFonts w:hint="eastAsia" w:ascii="宋体" w:hAnsi="宋体" w:eastAsia="宋体" w:cs="宋体"/>
          <w:color w:val="FF0000"/>
          <w:sz w:val="28"/>
          <w:szCs w:val="28"/>
          <w:u w:val="single"/>
          <w:lang w:val="en-US" w:eastAsia="zh-CN"/>
        </w:rPr>
        <w:t>X</w:t>
      </w:r>
      <w:r>
        <w:rPr>
          <w:rFonts w:hint="eastAsia" w:ascii="宋体" w:hAnsi="宋体" w:eastAsia="宋体" w:cs="宋体"/>
          <w:color w:val="auto"/>
          <w:sz w:val="28"/>
          <w:szCs w:val="28"/>
          <w:u w:val="single"/>
          <w:lang w:eastAsia="zh-CN"/>
        </w:rPr>
        <w:t>）</w:t>
      </w:r>
      <w:r>
        <w:rPr>
          <w:rFonts w:hint="eastAsia" w:ascii="宋体" w:hAnsi="宋体" w:eastAsia="宋体" w:cs="宋体"/>
          <w:sz w:val="28"/>
          <w:szCs w:val="28"/>
        </w:rPr>
        <w:t>设备报价表</w:t>
      </w:r>
    </w:p>
    <w:tbl>
      <w:tblPr>
        <w:tblStyle w:val="10"/>
        <w:tblW w:w="14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6"/>
        <w:gridCol w:w="253"/>
        <w:gridCol w:w="1484"/>
        <w:gridCol w:w="1285"/>
        <w:gridCol w:w="831"/>
        <w:gridCol w:w="347"/>
        <w:gridCol w:w="346"/>
        <w:gridCol w:w="1248"/>
        <w:gridCol w:w="22"/>
        <w:gridCol w:w="2056"/>
        <w:gridCol w:w="1109"/>
        <w:gridCol w:w="1522"/>
        <w:gridCol w:w="1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3" w:hRule="atLeast"/>
        </w:trPr>
        <w:tc>
          <w:tcPr>
            <w:tcW w:w="2486"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22"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772" w:type="dxa"/>
            <w:gridSpan w:val="4"/>
            <w:shd w:val="clear" w:color="auto" w:fill="91ABDF"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078"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31"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51"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2486"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22"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772" w:type="dxa"/>
            <w:gridSpan w:val="4"/>
            <w:shd w:val="clear" w:color="auto" w:fill="91ABDF"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078"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31"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51"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trPr>
        <w:tc>
          <w:tcPr>
            <w:tcW w:w="2486"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22"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772" w:type="dxa"/>
            <w:gridSpan w:val="4"/>
            <w:shd w:val="clear" w:color="auto" w:fill="91ABDF"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078"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31"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51"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9" w:hRule="exact"/>
        </w:trPr>
        <w:tc>
          <w:tcPr>
            <w:tcW w:w="2486"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22"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831" w:type="dxa"/>
            <w:shd w:val="clear" w:color="auto" w:fill="91ABDF"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693"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248"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078" w:type="dxa"/>
            <w:gridSpan w:val="2"/>
          </w:tcPr>
          <w:p>
            <w:pPr>
              <w:rPr>
                <w:rFonts w:hint="eastAsia" w:asciiTheme="minorEastAsia" w:hAnsiTheme="minorEastAsia" w:eastAsiaTheme="minorEastAsia" w:cstheme="minorEastAsia"/>
                <w:b/>
                <w:sz w:val="22"/>
                <w:szCs w:val="22"/>
              </w:rPr>
            </w:pPr>
          </w:p>
        </w:tc>
        <w:tc>
          <w:tcPr>
            <w:tcW w:w="2631"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51"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trPr>
        <w:tc>
          <w:tcPr>
            <w:tcW w:w="2486"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37"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285" w:type="dxa"/>
            <w:shd w:val="clear" w:color="auto" w:fill="91ABDF"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178"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672"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09"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373"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8" w:hRule="atLeast"/>
        </w:trPr>
        <w:tc>
          <w:tcPr>
            <w:tcW w:w="2486"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816"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538"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0" w:hRule="atLeast"/>
        </w:trPr>
        <w:tc>
          <w:tcPr>
            <w:tcW w:w="14840" w:type="dxa"/>
            <w:gridSpan w:val="13"/>
            <w:shd w:val="clear" w:color="auto" w:fill="FFFFFF" w:themeFill="background1"/>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U1l0a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TWXRp&#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7" w:hRule="atLeast"/>
        </w:trPr>
        <w:tc>
          <w:tcPr>
            <w:tcW w:w="2739"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101" w:type="dxa"/>
            <w:gridSpan w:val="11"/>
          </w:tcPr>
          <w:p>
            <w:pP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7" w:hRule="atLeast"/>
        </w:trPr>
        <w:tc>
          <w:tcPr>
            <w:tcW w:w="14840" w:type="dxa"/>
            <w:gridSpan w:val="13"/>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pPr>
        <w:ind w:right="420"/>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注：严禁修改表格，除第二次报价及第二次服务承诺、质保、维修响应时间及其他情况补充说明外请按要求逐项填写。                                                                                          </w:t>
      </w:r>
    </w:p>
    <w:p>
      <w:pPr>
        <w:ind w:right="420"/>
        <w:jc w:val="center"/>
        <w:rPr>
          <w:rFonts w:hint="eastAsia" w:ascii="宋体" w:hAnsi="宋体" w:eastAsia="宋体" w:cs="宋体"/>
          <w:b/>
          <w:spacing w:val="-6"/>
          <w:sz w:val="28"/>
          <w:szCs w:val="28"/>
        </w:rPr>
      </w:pPr>
      <w:r>
        <w:rPr>
          <w:rFonts w:hint="eastAsia" w:asciiTheme="minorEastAsia" w:hAnsiTheme="minorEastAsia" w:eastAsiaTheme="minorEastAsia" w:cstheme="minorEastAsia"/>
          <w:sz w:val="22"/>
          <w:szCs w:val="22"/>
          <w:lang w:val="en-US" w:eastAsia="zh-CN"/>
        </w:rPr>
        <w:t xml:space="preserve">                                                                                          </w:t>
      </w:r>
      <w:bookmarkStart w:id="1" w:name="_GoBack"/>
      <w:bookmarkEnd w:id="1"/>
      <w:r>
        <w:rPr>
          <w:rFonts w:hint="eastAsia" w:asciiTheme="minorEastAsia" w:hAnsiTheme="minorEastAsia" w:eastAsiaTheme="minorEastAsia" w:cstheme="minorEastAsia"/>
          <w:sz w:val="22"/>
          <w:szCs w:val="22"/>
          <w:lang w:val="en-US" w:eastAsia="zh-CN"/>
        </w:rPr>
        <w:t xml:space="preserve">    腾冲市人民医院招标采购办公室</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金山简黑体">
    <w:altName w:val="宋体"/>
    <w:panose1 w:val="0201060900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8D093C"/>
    <w:multiLevelType w:val="multilevel"/>
    <w:tmpl w:val="488D093C"/>
    <w:lvl w:ilvl="0" w:tentative="0">
      <w:start w:val="1"/>
      <w:numFmt w:val="decimal"/>
      <w:lvlText w:val="%1."/>
      <w:lvlJc w:val="left"/>
      <w:pPr>
        <w:ind w:left="767" w:hanging="360"/>
      </w:pPr>
      <w:rPr>
        <w:rFonts w:hint="default"/>
      </w:rPr>
    </w:lvl>
    <w:lvl w:ilvl="1" w:tentative="0">
      <w:start w:val="1"/>
      <w:numFmt w:val="lowerLetter"/>
      <w:lvlText w:val="%2)"/>
      <w:lvlJc w:val="left"/>
      <w:pPr>
        <w:ind w:left="1247" w:hanging="420"/>
      </w:pPr>
    </w:lvl>
    <w:lvl w:ilvl="2" w:tentative="0">
      <w:start w:val="1"/>
      <w:numFmt w:val="lowerRoman"/>
      <w:lvlText w:val="%3."/>
      <w:lvlJc w:val="right"/>
      <w:pPr>
        <w:ind w:left="1667" w:hanging="420"/>
      </w:pPr>
    </w:lvl>
    <w:lvl w:ilvl="3" w:tentative="0">
      <w:start w:val="1"/>
      <w:numFmt w:val="decimal"/>
      <w:lvlText w:val="%4."/>
      <w:lvlJc w:val="left"/>
      <w:pPr>
        <w:ind w:left="2087" w:hanging="420"/>
      </w:pPr>
    </w:lvl>
    <w:lvl w:ilvl="4" w:tentative="0">
      <w:start w:val="1"/>
      <w:numFmt w:val="lowerLetter"/>
      <w:lvlText w:val="%5)"/>
      <w:lvlJc w:val="left"/>
      <w:pPr>
        <w:ind w:left="2507" w:hanging="420"/>
      </w:pPr>
    </w:lvl>
    <w:lvl w:ilvl="5" w:tentative="0">
      <w:start w:val="1"/>
      <w:numFmt w:val="lowerRoman"/>
      <w:lvlText w:val="%6."/>
      <w:lvlJc w:val="right"/>
      <w:pPr>
        <w:ind w:left="2927" w:hanging="420"/>
      </w:pPr>
    </w:lvl>
    <w:lvl w:ilvl="6" w:tentative="0">
      <w:start w:val="1"/>
      <w:numFmt w:val="decimal"/>
      <w:lvlText w:val="%7."/>
      <w:lvlJc w:val="left"/>
      <w:pPr>
        <w:ind w:left="3347" w:hanging="420"/>
      </w:pPr>
    </w:lvl>
    <w:lvl w:ilvl="7" w:tentative="0">
      <w:start w:val="1"/>
      <w:numFmt w:val="lowerLetter"/>
      <w:lvlText w:val="%8)"/>
      <w:lvlJc w:val="left"/>
      <w:pPr>
        <w:ind w:left="3767" w:hanging="420"/>
      </w:pPr>
    </w:lvl>
    <w:lvl w:ilvl="8" w:tentative="0">
      <w:start w:val="1"/>
      <w:numFmt w:val="lowerRoman"/>
      <w:lvlText w:val="%9."/>
      <w:lvlJc w:val="right"/>
      <w:pPr>
        <w:ind w:left="418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C3BB2"/>
    <w:rsid w:val="14BC5944"/>
    <w:rsid w:val="1CBF5FD1"/>
    <w:rsid w:val="270E64D3"/>
    <w:rsid w:val="3115220C"/>
    <w:rsid w:val="331364BE"/>
    <w:rsid w:val="33B0446E"/>
    <w:rsid w:val="38757FDE"/>
    <w:rsid w:val="4F4A3571"/>
    <w:rsid w:val="50B52C6C"/>
    <w:rsid w:val="5B3E1509"/>
    <w:rsid w:val="5B85605C"/>
    <w:rsid w:val="5CA97B29"/>
    <w:rsid w:val="64B43520"/>
    <w:rsid w:val="686C0253"/>
    <w:rsid w:val="727D13E4"/>
    <w:rsid w:val="74E4574A"/>
    <w:rsid w:val="78585BD7"/>
    <w:rsid w:val="7AE302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2">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rFonts w:ascii="金山简黑体" w:hAnsi="金山简黑体" w:eastAsia="金山简黑体"/>
      <w:b/>
      <w:spacing w:val="-8"/>
      <w:kern w:val="0"/>
      <w:sz w:val="44"/>
      <w:szCs w:val="20"/>
    </w:rPr>
  </w:style>
  <w:style w:type="paragraph" w:styleId="3">
    <w:name w:val="Date"/>
    <w:basedOn w:val="1"/>
    <w:next w:val="1"/>
    <w:qFormat/>
    <w:uiPriority w:val="0"/>
    <w:pPr>
      <w:ind w:left="100" w:leftChars="2500"/>
    </w:pPr>
  </w:style>
  <w:style w:type="paragraph" w:styleId="6">
    <w:name w:val="footer"/>
    <w:basedOn w:val="1"/>
    <w:unhideWhenUsed/>
    <w:qFormat/>
    <w:uiPriority w:val="99"/>
    <w:pPr>
      <w:tabs>
        <w:tab w:val="center" w:pos="4153"/>
        <w:tab w:val="right" w:pos="8306"/>
      </w:tabs>
      <w:snapToGrid w:val="0"/>
      <w:jc w:val="left"/>
    </w:pPr>
    <w:rPr>
      <w:kern w:val="0"/>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w:basedOn w:val="2"/>
    <w:qFormat/>
    <w:uiPriority w:val="0"/>
    <w:pPr>
      <w:ind w:firstLine="420" w:firstLineChars="100"/>
    </w:pPr>
    <w:rPr>
      <w:rFonts w:ascii="Times New Roman" w:hAnsi="Times New Roman" w:eastAsia="宋体" w:cs="Times New Roma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3852</Words>
  <Characters>4072</Characters>
  <Lines>0</Lines>
  <Paragraphs>0</Paragraphs>
  <TotalTime>81</TotalTime>
  <ScaleCrop>false</ScaleCrop>
  <LinksUpToDate>false</LinksUpToDate>
  <CharactersWithSpaces>4903</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2025-07-09T03:35:00Z</dcterms:created>
  <dc:creator>Administrator</dc:creator>
  <cp:lastModifiedBy>瑜仔</cp:lastModifiedBy>
  <dcterms:modified xsi:type="dcterms:W3CDTF">2025-07-14T07:11:45Z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B8477EF91AF640E1A9D8084C0A5957B0_12</vt:lpwstr>
  </property>
</Properties>
</file>