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left="0" w:leftChars="0" w:firstLine="0" w:firstLineChars="0"/>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附件：</w:t>
      </w:r>
    </w:p>
    <w:tbl>
      <w:tblPr>
        <w:tblStyle w:val="7"/>
        <w:tblW w:w="8937" w:type="dxa"/>
        <w:tblInd w:w="0" w:type="dxa"/>
        <w:shd w:val="clear" w:color="auto" w:fill="auto"/>
        <w:tblLayout w:type="fixed"/>
        <w:tblCellMar>
          <w:top w:w="0" w:type="dxa"/>
          <w:left w:w="0" w:type="dxa"/>
          <w:bottom w:w="0" w:type="dxa"/>
          <w:right w:w="0" w:type="dxa"/>
        </w:tblCellMar>
      </w:tblPr>
      <w:tblGrid>
        <w:gridCol w:w="615"/>
        <w:gridCol w:w="3208"/>
        <w:gridCol w:w="1869"/>
        <w:gridCol w:w="1459"/>
        <w:gridCol w:w="1786"/>
      </w:tblGrid>
      <w:tr>
        <w:tblPrEx>
          <w:tblLayout w:type="fixed"/>
          <w:tblCellMar>
            <w:top w:w="0" w:type="dxa"/>
            <w:left w:w="0" w:type="dxa"/>
            <w:bottom w:w="0" w:type="dxa"/>
            <w:right w:w="0" w:type="dxa"/>
          </w:tblCellMar>
        </w:tblPrEx>
        <w:trPr>
          <w:trHeight w:val="560" w:hRule="atLeast"/>
        </w:trPr>
        <w:tc>
          <w:tcPr>
            <w:tcW w:w="8937"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8"/>
                <w:szCs w:val="28"/>
                <w:u w:val="none"/>
                <w:lang w:val="en-US"/>
              </w:rPr>
            </w:pPr>
            <w:r>
              <w:rPr>
                <w:rFonts w:hint="eastAsia" w:ascii="宋体" w:hAnsi="宋体" w:eastAsia="宋体" w:cs="宋体"/>
                <w:b/>
                <w:bCs/>
                <w:i w:val="0"/>
                <w:color w:val="000000"/>
                <w:kern w:val="0"/>
                <w:sz w:val="28"/>
                <w:szCs w:val="28"/>
                <w:u w:val="none"/>
                <w:lang w:val="en-US" w:eastAsia="zh-CN" w:bidi="ar"/>
              </w:rPr>
              <w:t>阴道分泌物检测仪</w:t>
            </w:r>
            <w:r>
              <w:rPr>
                <w:rFonts w:hint="eastAsia" w:ascii="宋体" w:hAnsi="宋体" w:cs="宋体"/>
                <w:b/>
                <w:bCs/>
                <w:i w:val="0"/>
                <w:color w:val="000000"/>
                <w:kern w:val="0"/>
                <w:sz w:val="28"/>
                <w:szCs w:val="28"/>
                <w:u w:val="none"/>
                <w:lang w:val="en-US" w:eastAsia="zh-CN" w:bidi="ar"/>
              </w:rPr>
              <w:t>参数</w:t>
            </w:r>
          </w:p>
        </w:tc>
      </w:tr>
      <w:tr>
        <w:tblPrEx>
          <w:tblLayout w:type="fixed"/>
          <w:tblCellMar>
            <w:top w:w="0" w:type="dxa"/>
            <w:left w:w="0" w:type="dxa"/>
            <w:bottom w:w="0" w:type="dxa"/>
            <w:right w:w="0" w:type="dxa"/>
          </w:tblCellMar>
        </w:tblPrEx>
        <w:trPr>
          <w:trHeight w:val="96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参数内容</w:t>
            </w:r>
          </w:p>
        </w:tc>
        <w:tc>
          <w:tcPr>
            <w:tcW w:w="18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是否为符合性条款（双星号条款）</w:t>
            </w:r>
          </w:p>
        </w:tc>
        <w:tc>
          <w:tcPr>
            <w:tcW w:w="14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是否为核心条款（星号条款）</w:t>
            </w:r>
          </w:p>
        </w:tc>
        <w:tc>
          <w:tcPr>
            <w:tcW w:w="178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制定理由</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（符合性条款和核心条款必须说明制定理由）</w:t>
            </w:r>
          </w:p>
        </w:tc>
      </w:tr>
      <w:tr>
        <w:tblPrEx>
          <w:tblLayout w:type="fixed"/>
          <w:tblCellMar>
            <w:top w:w="0" w:type="dxa"/>
            <w:left w:w="0" w:type="dxa"/>
            <w:bottom w:w="0" w:type="dxa"/>
            <w:right w:w="0" w:type="dxa"/>
          </w:tblCellMar>
        </w:tblPrEx>
        <w:trPr>
          <w:trHeight w:val="779"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**全流程全自动化智能化检测，无需人工干预</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459"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项目需求</w:t>
            </w:r>
          </w:p>
        </w:tc>
      </w:tr>
      <w:tr>
        <w:tblPrEx>
          <w:tblLayout w:type="fixed"/>
          <w:tblCellMar>
            <w:top w:w="0" w:type="dxa"/>
            <w:left w:w="0" w:type="dxa"/>
            <w:bottom w:w="0" w:type="dxa"/>
            <w:right w:w="0" w:type="dxa"/>
          </w:tblCellMar>
        </w:tblPrEx>
        <w:trPr>
          <w:trHeight w:val="805"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**显微镜检法（金标准）</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459"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项目需求</w:t>
            </w:r>
          </w:p>
        </w:tc>
      </w:tr>
      <w:tr>
        <w:tblPrEx>
          <w:tblLayout w:type="fixed"/>
          <w:tblCellMar>
            <w:top w:w="0" w:type="dxa"/>
            <w:left w:w="0" w:type="dxa"/>
            <w:bottom w:w="0" w:type="dxa"/>
            <w:right w:w="0" w:type="dxa"/>
          </w:tblCellMar>
        </w:tblPrEx>
        <w:trPr>
          <w:trHeight w:val="833"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*动态聚焦扫描层数：≥3层</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微软雅黑" w:hAnsi="微软雅黑" w:eastAsia="微软雅黑" w:cs="微软雅黑"/>
                <w:i w:val="0"/>
                <w:color w:val="000000"/>
                <w:sz w:val="18"/>
                <w:szCs w:val="18"/>
                <w:u w:val="none"/>
              </w:rPr>
            </w:pPr>
          </w:p>
        </w:tc>
      </w:tr>
      <w:tr>
        <w:tblPrEx>
          <w:tblLayout w:type="fixed"/>
          <w:tblCellMar>
            <w:top w:w="0" w:type="dxa"/>
            <w:left w:w="0" w:type="dxa"/>
            <w:bottom w:w="0" w:type="dxa"/>
            <w:right w:w="0" w:type="dxa"/>
          </w:tblCellMar>
        </w:tblPrEx>
        <w:trPr>
          <w:trHeight w:val="1498"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**支持棉签上机；设备可完成自动识别样本、自动注加稀释液、自动洗脱样本、自动传送样本等操作</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459"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项目需求</w:t>
            </w:r>
          </w:p>
        </w:tc>
      </w:tr>
      <w:tr>
        <w:tblPrEx>
          <w:tblLayout w:type="fixed"/>
          <w:tblCellMar>
            <w:top w:w="0" w:type="dxa"/>
            <w:left w:w="0" w:type="dxa"/>
            <w:bottom w:w="0" w:type="dxa"/>
            <w:right w:w="0" w:type="dxa"/>
          </w:tblCellMar>
        </w:tblPrEx>
        <w:trPr>
          <w:trHeight w:val="696"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*根据客户需求可选配染色功能</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78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项目需求</w:t>
            </w:r>
          </w:p>
        </w:tc>
      </w:tr>
      <w:tr>
        <w:tblPrEx>
          <w:tblLayout w:type="fixed"/>
          <w:tblCellMar>
            <w:top w:w="0" w:type="dxa"/>
            <w:left w:w="0" w:type="dxa"/>
            <w:bottom w:w="0" w:type="dxa"/>
            <w:right w:w="0" w:type="dxa"/>
          </w:tblCellMar>
        </w:tblPrEx>
        <w:trPr>
          <w:trHeight w:val="686"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*“镜检+干化学”一次性集成芯片，杜绝样本交叉污染</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78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项目需求</w:t>
            </w:r>
          </w:p>
        </w:tc>
      </w:tr>
      <w:tr>
        <w:tblPrEx>
          <w:tblLayout w:type="fixed"/>
          <w:tblCellMar>
            <w:top w:w="0" w:type="dxa"/>
            <w:left w:w="0" w:type="dxa"/>
            <w:bottom w:w="0" w:type="dxa"/>
            <w:right w:w="0" w:type="dxa"/>
          </w:tblCellMar>
        </w:tblPrEx>
        <w:trPr>
          <w:trHeight w:val="779"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*自动检测样本浊度，高浓度样本自动稀释</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78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项目需求</w:t>
            </w:r>
          </w:p>
        </w:tc>
      </w:tr>
      <w:tr>
        <w:tblPrEx>
          <w:tblLayout w:type="fixed"/>
          <w:tblCellMar>
            <w:top w:w="0" w:type="dxa"/>
            <w:left w:w="0" w:type="dxa"/>
            <w:bottom w:w="0" w:type="dxa"/>
            <w:right w:w="0" w:type="dxa"/>
          </w:tblCellMar>
        </w:tblPrEx>
        <w:trPr>
          <w:trHeight w:val="1091"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*高倍镜下拍摄视频，并在视频中对滴虫等动态细胞进行检测，视频时长：≥5s</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78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项目需求</w:t>
            </w:r>
          </w:p>
        </w:tc>
      </w:tr>
      <w:tr>
        <w:tblPrEx>
          <w:tblLayout w:type="fixed"/>
          <w:tblCellMar>
            <w:top w:w="0" w:type="dxa"/>
            <w:left w:w="0" w:type="dxa"/>
            <w:bottom w:w="0" w:type="dxa"/>
            <w:right w:w="0" w:type="dxa"/>
          </w:tblCellMar>
        </w:tblPrEx>
        <w:trPr>
          <w:trHeight w:val="1019"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检测仪自动分析判读样本中的成分，与人工判读结果相对偏差在±10%范围内</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16"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检测仪应能检出浓度水平为5个/HP的红细胞、白细胞和霉菌样本</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915"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**最高检测速度应不低于90个/小时</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459"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项目需求</w:t>
            </w:r>
          </w:p>
        </w:tc>
      </w:tr>
      <w:tr>
        <w:tblPrEx>
          <w:tblLayout w:type="fixed"/>
          <w:tblCellMar>
            <w:top w:w="0" w:type="dxa"/>
            <w:left w:w="0" w:type="dxa"/>
            <w:bottom w:w="0" w:type="dxa"/>
            <w:right w:w="0" w:type="dxa"/>
          </w:tblCellMar>
        </w:tblPrEx>
        <w:trPr>
          <w:trHeight w:val="6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弹夹式卡仓：20/30/60人份；支持最大装载量为120人份</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711"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一机多用，可兼容形态学/形态学+干化学等多种检测模式</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自动识别上皮细胞、白细胞、杆菌、霉菌等有形成分</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18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检测分泌物的脯氨酸氨基肽酶（PIP）、唾液酸苷酶（SNA）、白细胞酯酶（LE）、β-N-乙酰氨基葡萄糖苷酶（NAG）、过氧化氢（H2O2）浓度及分泌物pH</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14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仪器依据《全国临床检验操作规程》中清洁度判定表对样本清洁度进行判定，并可根据客户需求增加其他形态学指标联合进行清洁度的判定，增加结果的可靠性和准确性</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可根据样本中细胞类别，集中汇总查看，针对想复核的细胞可双击回到原始图片进行复核</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高倍视野（物镜40倍）下拍摄10个视野，用户可自定义视野个数</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用户可自定义复检规则</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136"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软件具有定义自动审核标准与人工审核的功能，软件具有患者资料输入、编辑、查询和存档等功能，软件具有对报告存储、查询、回顾性浏览和打印的功能，软件具有质控管理、系统设置等功能</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2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卡仓空报警提醒，废卡仓满报警提醒，清洗液瓶空报警提醒，废液瓶满报警提醒</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1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形态学与干化学综合报告（可联合显微镜检结果和干化学检查结果对生殖微生态状况进行评价）、图文并茂（可提供染色后图片），用户可自定义</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废卡仓配有一次性专用废卡袋，保证生物安全性</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试剂封闭管理，保证测试结果的可靠性</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基于MySql数据库进行数据存储</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外接RS232、USB接口，可以与医院计算机网络、LIS系统连接</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产品保修1年，终身维护</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2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专用样本管；试管配备了专用的试管帽，可防止异味挥发、使操作更加安全可靠</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全中文可个性化定制界面，操作极其简便</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30</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kern w:val="0"/>
                <w:sz w:val="22"/>
                <w:szCs w:val="22"/>
                <w:u w:val="none"/>
                <w:lang w:val="en-US" w:eastAsia="zh-CN" w:bidi="ar"/>
              </w:rPr>
            </w:pPr>
            <w:r>
              <w:rPr>
                <w:rFonts w:hint="eastAsia" w:ascii="仿宋_GB2312" w:hAnsi="宋体" w:eastAsia="仿宋_GB2312" w:cs="仿宋_GB2312"/>
                <w:i w:val="0"/>
                <w:color w:val="000000"/>
                <w:kern w:val="0"/>
                <w:sz w:val="22"/>
                <w:szCs w:val="22"/>
                <w:u w:val="none"/>
                <w:lang w:val="en-US" w:eastAsia="zh-CN" w:bidi="ar"/>
              </w:rPr>
              <w:t>如需特殊实验台面，安装电脑桌面供应商提供</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94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LIS系统的连接，汲及相关费用由供应商与LIS公司商谈，供应商承担。</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0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装机前供应商确认仪器安装环境要求是否达标，因安装环境的特殊要求不能满足，无法保证设备正常运行的，供应商负责。</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98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33</w:t>
            </w:r>
          </w:p>
        </w:tc>
        <w:tc>
          <w:tcPr>
            <w:tcW w:w="3208"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装机时提供各类实验项目试机试剂耗材不低于50人次</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报告打印：兄弟打印机HL2260D一台</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LIS连接联想电脑1套装</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样本采样试管500只</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bl>
    <w:p>
      <w:pPr>
        <w:pStyle w:val="3"/>
        <w:rPr>
          <w:rFonts w:hint="eastAsia" w:ascii="黑体" w:hAnsi="黑体" w:eastAsia="黑体" w:cs="黑体"/>
          <w:b w:val="0"/>
          <w:bCs w:val="0"/>
          <w:color w:val="auto"/>
          <w:sz w:val="32"/>
          <w:szCs w:val="32"/>
          <w:lang w:val="en-US" w:eastAsia="zh-CN"/>
        </w:rPr>
      </w:pPr>
    </w:p>
    <w:p>
      <w:pPr>
        <w:rPr>
          <w:rFonts w:hint="eastAsia" w:ascii="黑体" w:hAnsi="黑体" w:eastAsia="黑体" w:cs="黑体"/>
          <w:b w:val="0"/>
          <w:bCs w:val="0"/>
          <w:color w:val="auto"/>
          <w:sz w:val="32"/>
          <w:szCs w:val="32"/>
          <w:lang w:val="en-US" w:eastAsia="zh-CN"/>
        </w:rPr>
      </w:pPr>
    </w:p>
    <w:p>
      <w:pPr>
        <w:pStyle w:val="2"/>
        <w:rPr>
          <w:rFonts w:hint="eastAsia" w:ascii="黑体" w:hAnsi="黑体" w:eastAsia="黑体" w:cs="黑体"/>
          <w:b w:val="0"/>
          <w:bCs w:val="0"/>
          <w:color w:val="auto"/>
          <w:sz w:val="32"/>
          <w:szCs w:val="32"/>
          <w:lang w:val="en-US" w:eastAsia="zh-CN"/>
        </w:rPr>
      </w:pPr>
    </w:p>
    <w:p>
      <w:pPr>
        <w:pStyle w:val="3"/>
        <w:rPr>
          <w:rFonts w:hint="eastAsia" w:ascii="黑体" w:hAnsi="黑体" w:eastAsia="黑体" w:cs="黑体"/>
          <w:b w:val="0"/>
          <w:bCs w:val="0"/>
          <w:color w:val="auto"/>
          <w:sz w:val="32"/>
          <w:szCs w:val="32"/>
          <w:lang w:val="en-US" w:eastAsia="zh-CN"/>
        </w:rPr>
      </w:pPr>
    </w:p>
    <w:p>
      <w:pPr>
        <w:rPr>
          <w:rFonts w:hint="eastAsia" w:ascii="黑体" w:hAnsi="黑体" w:eastAsia="黑体" w:cs="黑体"/>
          <w:b w:val="0"/>
          <w:bCs w:val="0"/>
          <w:color w:val="auto"/>
          <w:sz w:val="32"/>
          <w:szCs w:val="32"/>
          <w:lang w:val="en-US" w:eastAsia="zh-CN"/>
        </w:rPr>
      </w:pPr>
    </w:p>
    <w:p>
      <w:pPr>
        <w:pStyle w:val="2"/>
        <w:rPr>
          <w:rFonts w:hint="eastAsia" w:ascii="黑体" w:hAnsi="黑体" w:eastAsia="黑体" w:cs="黑体"/>
          <w:b w:val="0"/>
          <w:bCs w:val="0"/>
          <w:color w:val="auto"/>
          <w:sz w:val="32"/>
          <w:szCs w:val="32"/>
          <w:lang w:val="en-US" w:eastAsia="zh-CN"/>
        </w:rPr>
      </w:pPr>
    </w:p>
    <w:p>
      <w:pPr>
        <w:pStyle w:val="3"/>
        <w:rPr>
          <w:rFonts w:hint="eastAsia" w:ascii="黑体" w:hAnsi="黑体" w:eastAsia="黑体" w:cs="黑体"/>
          <w:b w:val="0"/>
          <w:bCs w:val="0"/>
          <w:color w:val="auto"/>
          <w:sz w:val="32"/>
          <w:szCs w:val="32"/>
          <w:lang w:val="en-US" w:eastAsia="zh-CN"/>
        </w:rPr>
      </w:pPr>
    </w:p>
    <w:p>
      <w:pPr>
        <w:rPr>
          <w:rFonts w:hint="eastAsia"/>
          <w:lang w:val="en-US" w:eastAsia="zh-CN"/>
        </w:rPr>
      </w:pPr>
    </w:p>
    <w:p>
      <w:pPr>
        <w:pStyle w:val="3"/>
        <w:rPr>
          <w:rFonts w:hint="eastAsia" w:ascii="黑体" w:hAnsi="黑体" w:eastAsia="黑体" w:cs="黑体"/>
          <w:b w:val="0"/>
          <w:bCs w:val="0"/>
          <w:color w:val="auto"/>
          <w:sz w:val="32"/>
          <w:szCs w:val="32"/>
          <w:lang w:val="en-US" w:eastAsia="zh-CN"/>
        </w:rPr>
      </w:pPr>
    </w:p>
    <w:tbl>
      <w:tblPr>
        <w:tblStyle w:val="7"/>
        <w:tblW w:w="9010" w:type="dxa"/>
        <w:tblInd w:w="0" w:type="dxa"/>
        <w:shd w:val="clear" w:color="auto" w:fill="auto"/>
        <w:tblLayout w:type="fixed"/>
        <w:tblCellMar>
          <w:top w:w="0" w:type="dxa"/>
          <w:left w:w="0" w:type="dxa"/>
          <w:bottom w:w="0" w:type="dxa"/>
          <w:right w:w="0" w:type="dxa"/>
        </w:tblCellMar>
      </w:tblPr>
      <w:tblGrid>
        <w:gridCol w:w="615"/>
        <w:gridCol w:w="3500"/>
        <w:gridCol w:w="1468"/>
        <w:gridCol w:w="1759"/>
        <w:gridCol w:w="1668"/>
      </w:tblGrid>
      <w:tr>
        <w:tblPrEx>
          <w:tblLayout w:type="fixed"/>
          <w:tblCellMar>
            <w:top w:w="0" w:type="dxa"/>
            <w:left w:w="0" w:type="dxa"/>
            <w:bottom w:w="0" w:type="dxa"/>
            <w:right w:w="0" w:type="dxa"/>
          </w:tblCellMar>
        </w:tblPrEx>
        <w:trPr>
          <w:trHeight w:val="600" w:hRule="atLeast"/>
        </w:trPr>
        <w:tc>
          <w:tcPr>
            <w:tcW w:w="901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b/>
                <w:bCs/>
                <w:i w:val="0"/>
                <w:color w:val="000000"/>
                <w:kern w:val="0"/>
                <w:sz w:val="28"/>
                <w:szCs w:val="28"/>
                <w:u w:val="none"/>
                <w:lang w:val="en-US" w:eastAsia="zh-CN" w:bidi="ar"/>
              </w:rPr>
              <w:t>阴道微生态检测仪</w:t>
            </w:r>
            <w:r>
              <w:rPr>
                <w:rFonts w:hint="eastAsia" w:ascii="宋体" w:hAnsi="宋体" w:cs="宋体"/>
                <w:b/>
                <w:bCs/>
                <w:i w:val="0"/>
                <w:color w:val="000000"/>
                <w:kern w:val="0"/>
                <w:sz w:val="28"/>
                <w:szCs w:val="28"/>
                <w:u w:val="none"/>
                <w:lang w:val="en-US" w:eastAsia="zh-CN" w:bidi="ar"/>
              </w:rPr>
              <w:t>参数</w:t>
            </w:r>
            <w:r>
              <w:rPr>
                <w:rFonts w:hint="eastAsia" w:ascii="宋体" w:hAnsi="宋体" w:eastAsia="宋体" w:cs="宋体"/>
                <w:b/>
                <w:bCs/>
                <w:i w:val="0"/>
                <w:color w:val="000000"/>
                <w:kern w:val="0"/>
                <w:sz w:val="28"/>
                <w:szCs w:val="28"/>
                <w:u w:val="none"/>
                <w:lang w:val="en-US" w:eastAsia="zh-CN" w:bidi="ar"/>
              </w:rPr>
              <w:t xml:space="preserve">  </w:t>
            </w:r>
          </w:p>
        </w:tc>
      </w:tr>
      <w:tr>
        <w:tblPrEx>
          <w:tblLayout w:type="fixed"/>
          <w:tblCellMar>
            <w:top w:w="0" w:type="dxa"/>
            <w:left w:w="0" w:type="dxa"/>
            <w:bottom w:w="0" w:type="dxa"/>
            <w:right w:w="0" w:type="dxa"/>
          </w:tblCellMar>
        </w:tblPrEx>
        <w:trPr>
          <w:trHeight w:val="96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3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参数内容</w:t>
            </w:r>
          </w:p>
        </w:tc>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是否为符合性条款（双星号条款）</w:t>
            </w:r>
          </w:p>
        </w:tc>
        <w:tc>
          <w:tcPr>
            <w:tcW w:w="1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是否为核心条款（星号条款）</w:t>
            </w:r>
          </w:p>
        </w:tc>
        <w:tc>
          <w:tcPr>
            <w:tcW w:w="1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制定理由</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（符合性条款和核心条款必须说明制定理由）</w:t>
            </w:r>
          </w:p>
        </w:tc>
      </w:tr>
      <w:tr>
        <w:tblPrEx>
          <w:tblLayout w:type="fixed"/>
          <w:tblCellMar>
            <w:top w:w="0" w:type="dxa"/>
            <w:left w:w="0" w:type="dxa"/>
            <w:bottom w:w="0" w:type="dxa"/>
            <w:right w:w="0" w:type="dxa"/>
          </w:tblCellMar>
        </w:tblPrEx>
        <w:trPr>
          <w:trHeight w:val="96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p>
        </w:tc>
        <w:tc>
          <w:tcPr>
            <w:tcW w:w="839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b/>
                <w:bCs/>
                <w:i w:val="0"/>
                <w:color w:val="000000"/>
                <w:kern w:val="0"/>
                <w:sz w:val="24"/>
                <w:szCs w:val="24"/>
                <w:u w:val="none"/>
                <w:lang w:val="en-US" w:eastAsia="zh-CN" w:bidi="ar"/>
              </w:rPr>
              <w:t>一.阴道微生态检测仪</w:t>
            </w:r>
          </w:p>
        </w:tc>
      </w:tr>
      <w:tr>
        <w:tblPrEx>
          <w:tblLayout w:type="fixed"/>
          <w:tblCellMar>
            <w:top w:w="0" w:type="dxa"/>
            <w:left w:w="0" w:type="dxa"/>
            <w:bottom w:w="0" w:type="dxa"/>
            <w:right w:w="0" w:type="dxa"/>
          </w:tblCellMar>
        </w:tblPrEx>
        <w:trPr>
          <w:trHeight w:val="5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FF0000"/>
                <w:sz w:val="22"/>
                <w:szCs w:val="22"/>
                <w:u w:val="none"/>
              </w:rPr>
            </w:pPr>
            <w:r>
              <w:rPr>
                <w:rFonts w:hint="eastAsia" w:ascii="宋体" w:hAnsi="宋体" w:eastAsia="宋体" w:cs="宋体"/>
                <w:i w:val="0"/>
                <w:color w:val="FF0000"/>
                <w:kern w:val="0"/>
                <w:sz w:val="22"/>
                <w:szCs w:val="22"/>
                <w:u w:val="none"/>
                <w:lang w:val="en-US" w:eastAsia="zh-CN" w:bidi="ar"/>
              </w:rPr>
              <w:t>*1、样本处理速度不低于70T/小时。</w:t>
            </w:r>
          </w:p>
        </w:tc>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66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项目需求</w:t>
            </w:r>
          </w:p>
        </w:tc>
      </w:tr>
      <w:tr>
        <w:tblPrEx>
          <w:tblLayout w:type="fixed"/>
          <w:tblCellMar>
            <w:top w:w="0" w:type="dxa"/>
            <w:left w:w="0" w:type="dxa"/>
            <w:bottom w:w="0" w:type="dxa"/>
            <w:right w:w="0" w:type="dxa"/>
          </w:tblCellMar>
        </w:tblPrEx>
        <w:trPr>
          <w:trHeight w:val="114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3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Tip装载模块：96个*1个，外部可以配置多个Tip装载模块。</w:t>
            </w:r>
          </w:p>
        </w:tc>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0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3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FF0000"/>
                <w:sz w:val="22"/>
                <w:szCs w:val="22"/>
                <w:u w:val="none"/>
              </w:rPr>
            </w:pPr>
            <w:r>
              <w:rPr>
                <w:rFonts w:hint="eastAsia" w:ascii="宋体" w:hAnsi="宋体" w:eastAsia="宋体" w:cs="宋体"/>
                <w:i w:val="0"/>
                <w:color w:val="FF0000"/>
                <w:kern w:val="0"/>
                <w:sz w:val="22"/>
                <w:szCs w:val="22"/>
                <w:u w:val="none"/>
                <w:lang w:val="en-US" w:eastAsia="zh-CN" w:bidi="ar"/>
              </w:rPr>
              <w:t>*温浴模块：可最大同时温浴处理20人份标本。</w:t>
            </w:r>
          </w:p>
        </w:tc>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66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项目需求</w:t>
            </w:r>
          </w:p>
        </w:tc>
      </w:tr>
      <w:tr>
        <w:tblPrEx>
          <w:tblLayout w:type="fixed"/>
          <w:tblCellMar>
            <w:top w:w="0" w:type="dxa"/>
            <w:left w:w="0" w:type="dxa"/>
            <w:bottom w:w="0" w:type="dxa"/>
            <w:right w:w="0" w:type="dxa"/>
          </w:tblCellMar>
        </w:tblPrEx>
        <w:trPr>
          <w:trHeight w:val="2325"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3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FF0000"/>
                <w:sz w:val="22"/>
                <w:szCs w:val="22"/>
                <w:u w:val="none"/>
              </w:rPr>
            </w:pPr>
            <w:r>
              <w:rPr>
                <w:rFonts w:hint="eastAsia" w:ascii="宋体" w:hAnsi="宋体" w:eastAsia="宋体" w:cs="宋体"/>
                <w:i w:val="0"/>
                <w:color w:val="FF0000"/>
                <w:kern w:val="0"/>
                <w:sz w:val="22"/>
                <w:szCs w:val="22"/>
                <w:u w:val="none"/>
                <w:lang w:val="en-US" w:eastAsia="zh-CN" w:bidi="ar"/>
              </w:rPr>
              <w:t>*安全防护：采用机器视觉安全监控系统，不低于500万高清像素摄像头，自动对焦、自动识别试管架、自动监控Tip头装载，自动寻找下一个样本和Tip头，全程录像监控实验过程并故障报警。</w:t>
            </w:r>
          </w:p>
        </w:tc>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66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项目需求</w:t>
            </w:r>
          </w:p>
        </w:tc>
      </w:tr>
      <w:tr>
        <w:tblPrEx>
          <w:tblLayout w:type="fixed"/>
          <w:tblCellMar>
            <w:top w:w="0" w:type="dxa"/>
            <w:left w:w="0" w:type="dxa"/>
            <w:bottom w:w="0" w:type="dxa"/>
            <w:right w:w="0" w:type="dxa"/>
          </w:tblCellMar>
        </w:tblPrEx>
        <w:trPr>
          <w:trHeight w:val="1824"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3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FF0000"/>
                <w:sz w:val="22"/>
                <w:szCs w:val="22"/>
                <w:u w:val="none"/>
              </w:rPr>
            </w:pPr>
            <w:r>
              <w:rPr>
                <w:rFonts w:hint="eastAsia" w:ascii="宋体" w:hAnsi="宋体" w:eastAsia="宋体" w:cs="宋体"/>
                <w:i w:val="0"/>
                <w:color w:val="FF0000"/>
                <w:kern w:val="0"/>
                <w:sz w:val="22"/>
                <w:szCs w:val="22"/>
                <w:u w:val="none"/>
                <w:lang w:val="en-US" w:eastAsia="zh-CN" w:bidi="ar"/>
              </w:rPr>
              <w:t>*结果判读：采用机器视觉视网膜颜色自动识别系统，结果判读在开放的环境中进行，便于结果即时人工复核，结果自动判读上传。</w:t>
            </w:r>
          </w:p>
        </w:tc>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66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项目需求</w:t>
            </w:r>
          </w:p>
        </w:tc>
      </w:tr>
      <w:tr>
        <w:tblPrEx>
          <w:tblLayout w:type="fixed"/>
          <w:tblCellMar>
            <w:top w:w="0" w:type="dxa"/>
            <w:left w:w="0" w:type="dxa"/>
            <w:bottom w:w="0" w:type="dxa"/>
            <w:right w:w="0" w:type="dxa"/>
          </w:tblCellMar>
        </w:tblPrEx>
        <w:trPr>
          <w:trHeight w:val="766"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3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检测项目：Ph值、过氧化氢、白细胞酯酶、唾液酸酐酶。</w:t>
            </w:r>
          </w:p>
        </w:tc>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4"/>
                <w:szCs w:val="24"/>
                <w:u w:val="none"/>
              </w:rPr>
            </w:pPr>
          </w:p>
        </w:tc>
        <w:tc>
          <w:tcPr>
            <w:tcW w:w="839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二. 高倍镜检分析系统</w:t>
            </w:r>
          </w:p>
        </w:tc>
      </w:tr>
      <w:tr>
        <w:tblPrEx>
          <w:tblLayout w:type="fixed"/>
          <w:tblCellMar>
            <w:top w:w="0" w:type="dxa"/>
            <w:left w:w="0" w:type="dxa"/>
            <w:bottom w:w="0" w:type="dxa"/>
            <w:right w:w="0" w:type="dxa"/>
          </w:tblCellMar>
        </w:tblPrEx>
        <w:trPr>
          <w:trHeight w:val="1485"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c>
          <w:tcPr>
            <w:tcW w:w="3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FF0000"/>
                <w:sz w:val="22"/>
                <w:szCs w:val="22"/>
                <w:u w:val="none"/>
              </w:rPr>
            </w:pPr>
            <w:r>
              <w:rPr>
                <w:rFonts w:hint="eastAsia" w:ascii="宋体" w:hAnsi="宋体" w:eastAsia="宋体" w:cs="宋体"/>
                <w:i w:val="0"/>
                <w:color w:val="FF0000"/>
                <w:kern w:val="0"/>
                <w:sz w:val="22"/>
                <w:szCs w:val="22"/>
                <w:u w:val="none"/>
                <w:lang w:val="en-US" w:eastAsia="zh-CN" w:bidi="ar"/>
              </w:rPr>
              <w:t>**进口高级生物显微镜。中心免调试，提供明场、暗场、相差场快速转换装置，可进行明场、暗场、相差场等观察。</w:t>
            </w:r>
          </w:p>
        </w:tc>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66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项目需求</w:t>
            </w:r>
          </w:p>
        </w:tc>
      </w:tr>
      <w:tr>
        <w:tblPrEx>
          <w:tblLayout w:type="fixed"/>
          <w:tblCellMar>
            <w:top w:w="0" w:type="dxa"/>
            <w:left w:w="0" w:type="dxa"/>
            <w:bottom w:w="0" w:type="dxa"/>
            <w:right w:w="0" w:type="dxa"/>
          </w:tblCellMar>
        </w:tblPrEx>
        <w:trPr>
          <w:trHeight w:val="6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3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FF0000"/>
                <w:sz w:val="22"/>
                <w:szCs w:val="22"/>
                <w:u w:val="none"/>
              </w:rPr>
            </w:pPr>
            <w:r>
              <w:rPr>
                <w:rFonts w:hint="eastAsia" w:ascii="宋体" w:hAnsi="宋体" w:eastAsia="宋体" w:cs="宋体"/>
                <w:i w:val="0"/>
                <w:color w:val="FF0000"/>
                <w:kern w:val="0"/>
                <w:sz w:val="22"/>
                <w:szCs w:val="22"/>
                <w:u w:val="none"/>
                <w:lang w:val="en-US" w:eastAsia="zh-CN" w:bidi="ar"/>
              </w:rPr>
              <w:t>*多组旋转镜片，放大倍数实现100～20000倍。</w:t>
            </w:r>
          </w:p>
        </w:tc>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66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项目需求</w:t>
            </w:r>
          </w:p>
        </w:tc>
      </w:tr>
      <w:tr>
        <w:tblPrEx>
          <w:tblLayout w:type="fixed"/>
          <w:tblCellMar>
            <w:top w:w="0" w:type="dxa"/>
            <w:left w:w="0" w:type="dxa"/>
            <w:bottom w:w="0" w:type="dxa"/>
            <w:right w:w="0" w:type="dxa"/>
          </w:tblCellMar>
        </w:tblPrEx>
        <w:trPr>
          <w:trHeight w:val="96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w:t>
            </w:r>
          </w:p>
        </w:tc>
        <w:tc>
          <w:tcPr>
            <w:tcW w:w="3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视野视频保持同步清晰无需微调，变倍过程实现同步观察始终保持清晰可见，视野视频观察位点同步。</w:t>
            </w:r>
          </w:p>
        </w:tc>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Layout w:type="fixed"/>
          <w:tblCellMar>
            <w:top w:w="0" w:type="dxa"/>
            <w:left w:w="0" w:type="dxa"/>
            <w:bottom w:w="0" w:type="dxa"/>
            <w:right w:w="0" w:type="dxa"/>
          </w:tblCellMar>
        </w:tblPrEx>
        <w:trPr>
          <w:trHeight w:val="6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3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LED冷光源保证长期光源使用寿命。</w:t>
            </w:r>
          </w:p>
        </w:tc>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Layout w:type="fixed"/>
          <w:tblCellMar>
            <w:top w:w="0" w:type="dxa"/>
            <w:left w:w="0" w:type="dxa"/>
            <w:bottom w:w="0" w:type="dxa"/>
            <w:right w:w="0" w:type="dxa"/>
          </w:tblCellMar>
        </w:tblPrEx>
        <w:trPr>
          <w:trHeight w:val="104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w:t>
            </w:r>
          </w:p>
        </w:tc>
        <w:tc>
          <w:tcPr>
            <w:tcW w:w="3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多功能高倍镜检分析系统为一体机设计，内置放大控制器和电脑工作站。控制光电放大器放大和缩小,缩放倍率一键实现，无需手控。</w:t>
            </w:r>
          </w:p>
        </w:tc>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Layout w:type="fixed"/>
          <w:tblCellMar>
            <w:top w:w="0" w:type="dxa"/>
            <w:left w:w="0" w:type="dxa"/>
            <w:bottom w:w="0" w:type="dxa"/>
            <w:right w:w="0" w:type="dxa"/>
          </w:tblCellMar>
        </w:tblPrEx>
        <w:trPr>
          <w:trHeight w:val="2013"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w:t>
            </w:r>
          </w:p>
        </w:tc>
        <w:tc>
          <w:tcPr>
            <w:tcW w:w="3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FF0000"/>
                <w:sz w:val="22"/>
                <w:szCs w:val="22"/>
                <w:u w:val="none"/>
              </w:rPr>
            </w:pPr>
            <w:r>
              <w:rPr>
                <w:rFonts w:hint="eastAsia" w:ascii="宋体" w:hAnsi="宋体" w:eastAsia="宋体" w:cs="宋体"/>
                <w:i w:val="0"/>
                <w:color w:val="FF0000"/>
                <w:kern w:val="0"/>
                <w:sz w:val="22"/>
                <w:szCs w:val="22"/>
                <w:u w:val="none"/>
                <w:lang w:val="en-US" w:eastAsia="zh-CN" w:bidi="ar"/>
              </w:rPr>
              <w:t>**配备专业的阴道微生态评价软件，可出具包含妇产科学教材第十八章第一节中要求的项目报告单：具备阴道分泌物湿片及革兰氏染色涂片的显微镜检查。（提供证明）</w:t>
            </w:r>
          </w:p>
        </w:tc>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66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项目需求</w:t>
            </w:r>
          </w:p>
        </w:tc>
      </w:tr>
      <w:tr>
        <w:tblPrEx>
          <w:tblLayout w:type="fixed"/>
          <w:tblCellMar>
            <w:top w:w="0" w:type="dxa"/>
            <w:left w:w="0" w:type="dxa"/>
            <w:bottom w:w="0" w:type="dxa"/>
            <w:right w:w="0" w:type="dxa"/>
          </w:tblCellMar>
        </w:tblPrEx>
        <w:trPr>
          <w:trHeight w:val="6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w:t>
            </w:r>
          </w:p>
        </w:tc>
        <w:tc>
          <w:tcPr>
            <w:tcW w:w="3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处理速度不低于60玻片/小时。</w:t>
            </w:r>
          </w:p>
        </w:tc>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Layout w:type="fixed"/>
          <w:tblCellMar>
            <w:top w:w="0" w:type="dxa"/>
            <w:left w:w="0" w:type="dxa"/>
            <w:bottom w:w="0" w:type="dxa"/>
            <w:right w:w="0" w:type="dxa"/>
          </w:tblCellMar>
        </w:tblPrEx>
        <w:trPr>
          <w:trHeight w:val="6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w:t>
            </w:r>
          </w:p>
        </w:tc>
        <w:tc>
          <w:tcPr>
            <w:tcW w:w="3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FF0000"/>
                <w:sz w:val="22"/>
                <w:szCs w:val="22"/>
                <w:u w:val="none"/>
              </w:rPr>
            </w:pPr>
            <w:r>
              <w:rPr>
                <w:rFonts w:hint="eastAsia" w:ascii="宋体" w:hAnsi="宋体" w:eastAsia="宋体" w:cs="宋体"/>
                <w:i w:val="0"/>
                <w:color w:val="FF0000"/>
                <w:kern w:val="0"/>
                <w:sz w:val="22"/>
                <w:szCs w:val="22"/>
                <w:u w:val="none"/>
                <w:lang w:val="en-US" w:eastAsia="zh-CN" w:bidi="ar"/>
              </w:rPr>
              <w:t>*自动清洗装置：物镜自动清洗。</w:t>
            </w:r>
          </w:p>
        </w:tc>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66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项目需求</w:t>
            </w:r>
          </w:p>
        </w:tc>
      </w:tr>
      <w:tr>
        <w:tblPrEx>
          <w:tblLayout w:type="fixed"/>
          <w:tblCellMar>
            <w:top w:w="0" w:type="dxa"/>
            <w:left w:w="0" w:type="dxa"/>
            <w:bottom w:w="0" w:type="dxa"/>
            <w:right w:w="0" w:type="dxa"/>
          </w:tblCellMar>
        </w:tblPrEx>
        <w:trPr>
          <w:trHeight w:val="738"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3500" w:type="dxa"/>
            <w:tcBorders>
              <w:top w:val="single" w:color="000000" w:sz="4" w:space="0"/>
              <w:left w:val="single" w:color="000000" w:sz="4" w:space="0"/>
              <w:bottom w:val="single" w:color="000000" w:sz="4" w:space="0"/>
              <w:right w:val="single" w:color="000000" w:sz="4" w:space="0"/>
            </w:tcBorders>
            <w:shd w:val="clear" w:color="auto" w:fill="FFFF0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高清图像采集模块：像素不低于200万。</w:t>
            </w:r>
          </w:p>
        </w:tc>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r>
      <w:tr>
        <w:tblPrEx>
          <w:tblLayout w:type="fixed"/>
          <w:tblCellMar>
            <w:top w:w="0" w:type="dxa"/>
            <w:left w:w="0" w:type="dxa"/>
            <w:bottom w:w="0" w:type="dxa"/>
            <w:right w:w="0" w:type="dxa"/>
          </w:tblCellMar>
        </w:tblPrEx>
        <w:trPr>
          <w:trHeight w:val="118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16</w:t>
            </w:r>
          </w:p>
        </w:tc>
        <w:tc>
          <w:tcPr>
            <w:tcW w:w="3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操作系统：中文界面。可与Lis/His双向对接；一键式操作，简化操作流程。</w:t>
            </w:r>
          </w:p>
        </w:tc>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14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4"/>
                <w:szCs w:val="24"/>
                <w:u w:val="none"/>
              </w:rPr>
            </w:pPr>
          </w:p>
        </w:tc>
        <w:tc>
          <w:tcPr>
            <w:tcW w:w="839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三.染色机</w:t>
            </w:r>
          </w:p>
        </w:tc>
      </w:tr>
      <w:tr>
        <w:tblPrEx>
          <w:tblLayout w:type="fixed"/>
          <w:tblCellMar>
            <w:top w:w="0" w:type="dxa"/>
            <w:left w:w="0" w:type="dxa"/>
            <w:bottom w:w="0" w:type="dxa"/>
            <w:right w:w="0" w:type="dxa"/>
          </w:tblCellMar>
        </w:tblPrEx>
        <w:trPr>
          <w:trHeight w:val="114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17</w:t>
            </w:r>
          </w:p>
        </w:tc>
        <w:tc>
          <w:tcPr>
            <w:tcW w:w="3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试剂喷头：每一种溶液都有一个单独的喷头用以向外喷洒一定数量的溶液。</w:t>
            </w:r>
          </w:p>
        </w:tc>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14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18</w:t>
            </w:r>
          </w:p>
        </w:tc>
        <w:tc>
          <w:tcPr>
            <w:tcW w:w="3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FF0000"/>
                <w:sz w:val="22"/>
                <w:szCs w:val="22"/>
                <w:u w:val="none"/>
              </w:rPr>
            </w:pPr>
            <w:r>
              <w:rPr>
                <w:rFonts w:hint="eastAsia" w:ascii="宋体" w:hAnsi="宋体" w:eastAsia="宋体" w:cs="宋体"/>
                <w:i w:val="0"/>
                <w:color w:val="FF0000"/>
                <w:kern w:val="0"/>
                <w:sz w:val="22"/>
                <w:szCs w:val="22"/>
                <w:u w:val="none"/>
                <w:lang w:val="en-US" w:eastAsia="zh-CN" w:bidi="ar"/>
              </w:rPr>
              <w:t>*样品盘的容量：不低于8片载玻片/次。</w:t>
            </w:r>
          </w:p>
        </w:tc>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66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项目需求</w:t>
            </w:r>
          </w:p>
        </w:tc>
      </w:tr>
      <w:tr>
        <w:tblPrEx>
          <w:tblLayout w:type="fixed"/>
          <w:tblCellMar>
            <w:top w:w="0" w:type="dxa"/>
            <w:left w:w="0" w:type="dxa"/>
            <w:bottom w:w="0" w:type="dxa"/>
            <w:right w:w="0" w:type="dxa"/>
          </w:tblCellMar>
        </w:tblPrEx>
        <w:trPr>
          <w:trHeight w:val="114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19</w:t>
            </w:r>
          </w:p>
        </w:tc>
        <w:tc>
          <w:tcPr>
            <w:tcW w:w="3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液压感应系统：具备多通道染液液压感应，染色液量不足自动报警。</w:t>
            </w:r>
          </w:p>
        </w:tc>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14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4"/>
                <w:szCs w:val="24"/>
                <w:u w:val="none"/>
              </w:rPr>
            </w:pPr>
          </w:p>
        </w:tc>
        <w:tc>
          <w:tcPr>
            <w:tcW w:w="839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四.装机要求</w:t>
            </w:r>
          </w:p>
        </w:tc>
      </w:tr>
      <w:tr>
        <w:tblPrEx>
          <w:tblLayout w:type="fixed"/>
          <w:tblCellMar>
            <w:top w:w="0" w:type="dxa"/>
            <w:left w:w="0" w:type="dxa"/>
            <w:bottom w:w="0" w:type="dxa"/>
            <w:right w:w="0" w:type="dxa"/>
          </w:tblCellMar>
        </w:tblPrEx>
        <w:trPr>
          <w:trHeight w:val="62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w:t>
            </w:r>
          </w:p>
        </w:tc>
        <w:tc>
          <w:tcPr>
            <w:tcW w:w="3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试剂耗材：装机时提供各类实验项目试机试剂耗材不低于20人次.</w:t>
            </w:r>
          </w:p>
        </w:tc>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98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21</w:t>
            </w:r>
          </w:p>
        </w:tc>
        <w:tc>
          <w:tcPr>
            <w:tcW w:w="3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如需特殊实验台面，安装电脑桌面供应商提供。</w:t>
            </w:r>
          </w:p>
        </w:tc>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98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22</w:t>
            </w:r>
          </w:p>
        </w:tc>
        <w:tc>
          <w:tcPr>
            <w:tcW w:w="3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仿宋_GB2312" w:hAnsi="宋体" w:eastAsia="仿宋_GB2312" w:cs="仿宋_GB2312"/>
                <w:i w:val="0"/>
                <w:color w:val="FF0000"/>
                <w:sz w:val="24"/>
                <w:szCs w:val="24"/>
                <w:u w:val="none"/>
              </w:rPr>
            </w:pPr>
            <w:r>
              <w:rPr>
                <w:rFonts w:hint="eastAsia" w:ascii="仿宋_GB2312" w:hAnsi="宋体" w:eastAsia="仿宋_GB2312" w:cs="仿宋_GB2312"/>
                <w:i w:val="0"/>
                <w:color w:val="FF0000"/>
                <w:kern w:val="0"/>
                <w:sz w:val="24"/>
                <w:szCs w:val="24"/>
                <w:u w:val="none"/>
                <w:lang w:val="en-US" w:eastAsia="zh-CN" w:bidi="ar"/>
              </w:rPr>
              <w:t>**LIS系统的连接(双向通讯)：装机工程师负责与LIS工程师接通LIS并能正常使用，汲及相关费用由供应商与LIS公司商谈，供应商承担。</w:t>
            </w:r>
          </w:p>
        </w:tc>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66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项目需求</w:t>
            </w:r>
          </w:p>
        </w:tc>
      </w:tr>
    </w:tbl>
    <w:p>
      <w:pPr>
        <w:rPr>
          <w:rFonts w:hint="eastAsia" w:ascii="黑体" w:hAnsi="黑体" w:eastAsia="黑体" w:cs="黑体"/>
          <w:b w:val="0"/>
          <w:bCs w:val="0"/>
          <w:color w:val="auto"/>
          <w:sz w:val="32"/>
          <w:szCs w:val="32"/>
          <w:lang w:val="en-US" w:eastAsia="zh-CN"/>
        </w:rPr>
      </w:pPr>
    </w:p>
    <w:p>
      <w:pPr>
        <w:pStyle w:val="2"/>
        <w:rPr>
          <w:rFonts w:hint="eastAsia" w:ascii="黑体" w:hAnsi="黑体" w:eastAsia="黑体" w:cs="黑体"/>
          <w:b w:val="0"/>
          <w:bCs w:val="0"/>
          <w:color w:val="auto"/>
          <w:sz w:val="32"/>
          <w:szCs w:val="32"/>
          <w:lang w:val="en-US" w:eastAsia="zh-CN"/>
        </w:rPr>
      </w:pPr>
    </w:p>
    <w:p>
      <w:pPr>
        <w:pStyle w:val="3"/>
        <w:rPr>
          <w:rFonts w:hint="eastAsia" w:ascii="黑体" w:hAnsi="黑体" w:eastAsia="黑体" w:cs="黑体"/>
          <w:b w:val="0"/>
          <w:bCs w:val="0"/>
          <w:color w:val="auto"/>
          <w:sz w:val="32"/>
          <w:szCs w:val="32"/>
          <w:lang w:val="en-US" w:eastAsia="zh-CN"/>
        </w:rPr>
      </w:pPr>
    </w:p>
    <w:p>
      <w:pPr>
        <w:rPr>
          <w:rFonts w:hint="eastAsia" w:ascii="黑体" w:hAnsi="黑体" w:eastAsia="黑体" w:cs="黑体"/>
          <w:b w:val="0"/>
          <w:bCs w:val="0"/>
          <w:color w:val="auto"/>
          <w:sz w:val="32"/>
          <w:szCs w:val="32"/>
          <w:lang w:val="en-US" w:eastAsia="zh-CN"/>
        </w:rPr>
      </w:pPr>
    </w:p>
    <w:p>
      <w:pPr>
        <w:pStyle w:val="2"/>
        <w:rPr>
          <w:rFonts w:hint="eastAsia" w:ascii="黑体" w:hAnsi="黑体" w:eastAsia="黑体" w:cs="黑体"/>
          <w:b w:val="0"/>
          <w:bCs w:val="0"/>
          <w:color w:val="auto"/>
          <w:sz w:val="32"/>
          <w:szCs w:val="32"/>
          <w:lang w:val="en-US" w:eastAsia="zh-CN"/>
        </w:rPr>
      </w:pPr>
    </w:p>
    <w:p>
      <w:pPr>
        <w:pStyle w:val="3"/>
        <w:rPr>
          <w:rFonts w:hint="eastAsia" w:ascii="黑体" w:hAnsi="黑体" w:eastAsia="黑体" w:cs="黑体"/>
          <w:b w:val="0"/>
          <w:bCs w:val="0"/>
          <w:color w:val="auto"/>
          <w:sz w:val="32"/>
          <w:szCs w:val="32"/>
          <w:lang w:val="en-US" w:eastAsia="zh-CN"/>
        </w:rPr>
      </w:pPr>
    </w:p>
    <w:p>
      <w:pPr>
        <w:rPr>
          <w:rFonts w:hint="eastAsia" w:ascii="黑体" w:hAnsi="黑体" w:eastAsia="黑体" w:cs="黑体"/>
          <w:b w:val="0"/>
          <w:bCs w:val="0"/>
          <w:color w:val="auto"/>
          <w:sz w:val="32"/>
          <w:szCs w:val="32"/>
          <w:lang w:val="en-US" w:eastAsia="zh-CN"/>
        </w:rPr>
      </w:pPr>
    </w:p>
    <w:p>
      <w:pPr>
        <w:pStyle w:val="2"/>
        <w:rPr>
          <w:rFonts w:hint="eastAsia" w:ascii="黑体" w:hAnsi="黑体" w:eastAsia="黑体" w:cs="黑体"/>
          <w:b w:val="0"/>
          <w:bCs w:val="0"/>
          <w:color w:val="auto"/>
          <w:sz w:val="32"/>
          <w:szCs w:val="32"/>
          <w:lang w:val="en-US" w:eastAsia="zh-CN"/>
        </w:rPr>
      </w:pPr>
    </w:p>
    <w:p>
      <w:pPr>
        <w:pStyle w:val="3"/>
        <w:rPr>
          <w:rFonts w:hint="eastAsia" w:ascii="黑体" w:hAnsi="黑体" w:eastAsia="黑体" w:cs="黑体"/>
          <w:b w:val="0"/>
          <w:bCs w:val="0"/>
          <w:color w:val="auto"/>
          <w:sz w:val="32"/>
          <w:szCs w:val="32"/>
          <w:lang w:val="en-US" w:eastAsia="zh-CN"/>
        </w:rPr>
      </w:pPr>
    </w:p>
    <w:p>
      <w:pPr>
        <w:rPr>
          <w:rFonts w:hint="eastAsia" w:ascii="黑体" w:hAnsi="黑体" w:eastAsia="黑体" w:cs="黑体"/>
          <w:b w:val="0"/>
          <w:bCs w:val="0"/>
          <w:color w:val="auto"/>
          <w:sz w:val="32"/>
          <w:szCs w:val="32"/>
          <w:lang w:val="en-US" w:eastAsia="zh-CN"/>
        </w:rPr>
      </w:pPr>
    </w:p>
    <w:p>
      <w:pPr>
        <w:pStyle w:val="2"/>
        <w:rPr>
          <w:rFonts w:hint="eastAsia" w:ascii="黑体" w:hAnsi="黑体" w:eastAsia="黑体" w:cs="黑体"/>
          <w:b w:val="0"/>
          <w:bCs w:val="0"/>
          <w:color w:val="auto"/>
          <w:sz w:val="32"/>
          <w:szCs w:val="32"/>
          <w:lang w:val="en-US" w:eastAsia="zh-CN"/>
        </w:rPr>
      </w:pPr>
    </w:p>
    <w:p>
      <w:pPr>
        <w:pStyle w:val="3"/>
        <w:rPr>
          <w:rFonts w:hint="eastAsia" w:ascii="黑体" w:hAnsi="黑体" w:eastAsia="黑体" w:cs="黑体"/>
          <w:b w:val="0"/>
          <w:bCs w:val="0"/>
          <w:color w:val="auto"/>
          <w:sz w:val="32"/>
          <w:szCs w:val="32"/>
          <w:lang w:val="en-US" w:eastAsia="zh-CN"/>
        </w:rPr>
      </w:pPr>
    </w:p>
    <w:p>
      <w:pPr>
        <w:rPr>
          <w:rFonts w:hint="eastAsia" w:ascii="黑体" w:hAnsi="黑体" w:eastAsia="黑体" w:cs="黑体"/>
          <w:b w:val="0"/>
          <w:bCs w:val="0"/>
          <w:color w:val="auto"/>
          <w:sz w:val="32"/>
          <w:szCs w:val="32"/>
          <w:lang w:val="en-US" w:eastAsia="zh-CN"/>
        </w:rPr>
      </w:pPr>
    </w:p>
    <w:p>
      <w:pPr>
        <w:pStyle w:val="2"/>
        <w:rPr>
          <w:rFonts w:hint="eastAsia" w:ascii="黑体" w:hAnsi="黑体" w:eastAsia="黑体" w:cs="黑体"/>
          <w:b w:val="0"/>
          <w:bCs w:val="0"/>
          <w:color w:val="auto"/>
          <w:sz w:val="32"/>
          <w:szCs w:val="32"/>
          <w:lang w:val="en-US" w:eastAsia="zh-CN"/>
        </w:rPr>
      </w:pPr>
    </w:p>
    <w:p>
      <w:pPr>
        <w:pStyle w:val="3"/>
        <w:rPr>
          <w:rFonts w:hint="eastAsia"/>
          <w:lang w:val="en-US" w:eastAsia="zh-CN"/>
        </w:rPr>
      </w:pPr>
    </w:p>
    <w:tbl>
      <w:tblPr>
        <w:tblStyle w:val="7"/>
        <w:tblW w:w="9128" w:type="dxa"/>
        <w:tblInd w:w="0" w:type="dxa"/>
        <w:shd w:val="clear" w:color="auto" w:fill="auto"/>
        <w:tblLayout w:type="fixed"/>
        <w:tblCellMar>
          <w:top w:w="0" w:type="dxa"/>
          <w:left w:w="0" w:type="dxa"/>
          <w:bottom w:w="0" w:type="dxa"/>
          <w:right w:w="0" w:type="dxa"/>
        </w:tblCellMar>
      </w:tblPr>
      <w:tblGrid>
        <w:gridCol w:w="616"/>
        <w:gridCol w:w="3085"/>
        <w:gridCol w:w="1541"/>
        <w:gridCol w:w="1786"/>
        <w:gridCol w:w="2100"/>
      </w:tblGrid>
      <w:tr>
        <w:tblPrEx>
          <w:shd w:val="clear" w:color="auto" w:fill="auto"/>
          <w:tblLayout w:type="fixed"/>
          <w:tblCellMar>
            <w:top w:w="0" w:type="dxa"/>
            <w:left w:w="0" w:type="dxa"/>
            <w:bottom w:w="0" w:type="dxa"/>
            <w:right w:w="0" w:type="dxa"/>
          </w:tblCellMar>
        </w:tblPrEx>
        <w:trPr>
          <w:trHeight w:val="942" w:hRule="atLeast"/>
        </w:trPr>
        <w:tc>
          <w:tcPr>
            <w:tcW w:w="9128"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 xml:space="preserve">                            </w:t>
            </w:r>
            <w:r>
              <w:rPr>
                <w:rFonts w:hint="eastAsia" w:ascii="宋体" w:hAnsi="宋体" w:eastAsia="宋体" w:cs="宋体"/>
                <w:b/>
                <w:bCs/>
                <w:i w:val="0"/>
                <w:color w:val="000000"/>
                <w:kern w:val="0"/>
                <w:sz w:val="22"/>
                <w:szCs w:val="22"/>
                <w:u w:val="none"/>
                <w:lang w:val="en-US" w:eastAsia="zh-CN" w:bidi="ar"/>
              </w:rPr>
              <w:t xml:space="preserve"> </w:t>
            </w:r>
            <w:r>
              <w:rPr>
                <w:rFonts w:hint="eastAsia" w:ascii="宋体" w:hAnsi="宋体" w:eastAsia="宋体" w:cs="宋体"/>
                <w:b/>
                <w:bCs/>
                <w:i w:val="0"/>
                <w:color w:val="000000"/>
                <w:kern w:val="0"/>
                <w:sz w:val="28"/>
                <w:szCs w:val="28"/>
                <w:u w:val="none"/>
                <w:lang w:val="en-US" w:eastAsia="zh-CN" w:bidi="ar"/>
              </w:rPr>
              <w:t>全自动化学发光免疫分析仪</w:t>
            </w:r>
            <w:r>
              <w:rPr>
                <w:rFonts w:hint="eastAsia" w:ascii="宋体" w:hAnsi="宋体" w:cs="宋体"/>
                <w:b/>
                <w:bCs/>
                <w:i w:val="0"/>
                <w:color w:val="000000"/>
                <w:kern w:val="0"/>
                <w:sz w:val="28"/>
                <w:szCs w:val="28"/>
                <w:u w:val="none"/>
                <w:lang w:val="en-US" w:eastAsia="zh-CN" w:bidi="ar"/>
              </w:rPr>
              <w:t>参数</w:t>
            </w:r>
          </w:p>
        </w:tc>
      </w:tr>
      <w:tr>
        <w:tblPrEx>
          <w:shd w:val="clear" w:color="auto" w:fill="auto"/>
          <w:tblLayout w:type="fixed"/>
          <w:tblCellMar>
            <w:top w:w="0" w:type="dxa"/>
            <w:left w:w="0" w:type="dxa"/>
            <w:bottom w:w="0" w:type="dxa"/>
            <w:right w:w="0" w:type="dxa"/>
          </w:tblCellMar>
        </w:tblPrEx>
        <w:trPr>
          <w:trHeight w:val="820"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30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参数内容</w:t>
            </w:r>
          </w:p>
        </w:tc>
        <w:tc>
          <w:tcPr>
            <w:tcW w:w="15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是否为符合性条款（双星号条款）</w:t>
            </w:r>
          </w:p>
        </w:tc>
        <w:tc>
          <w:tcPr>
            <w:tcW w:w="17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是否为核心条款（星号条款）</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制定理由</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（符合性条款和核心条款必须说明制定理由）</w:t>
            </w:r>
          </w:p>
        </w:tc>
      </w:tr>
      <w:tr>
        <w:tblPrEx>
          <w:shd w:val="clear" w:color="auto" w:fill="auto"/>
          <w:tblLayout w:type="fixed"/>
          <w:tblCellMar>
            <w:top w:w="0" w:type="dxa"/>
            <w:left w:w="0" w:type="dxa"/>
            <w:bottom w:w="0" w:type="dxa"/>
            <w:right w:w="0" w:type="dxa"/>
          </w:tblCellMar>
        </w:tblPrEx>
        <w:trPr>
          <w:trHeight w:val="1380"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0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检测原理：吖啶酯直接化学发光法</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用化学发光方法学检测结果更精准。</w:t>
            </w:r>
          </w:p>
        </w:tc>
      </w:tr>
      <w:tr>
        <w:tblPrEx>
          <w:shd w:val="clear" w:color="auto" w:fill="auto"/>
          <w:tblLayout w:type="fixed"/>
          <w:tblCellMar>
            <w:top w:w="0" w:type="dxa"/>
            <w:left w:w="0" w:type="dxa"/>
            <w:bottom w:w="0" w:type="dxa"/>
            <w:right w:w="0" w:type="dxa"/>
          </w:tblCellMar>
        </w:tblPrEx>
        <w:trPr>
          <w:trHeight w:val="13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30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检测项目：肌钙蛋白I（TnI）、肌红蛋白（Myoglobin）、肌酸同工酶（CK-MB）、全程C反应蛋白（常规CRP+hsCRP）、降钙素原（PCT）、脑利肽前体（NT-proBNP）、D-二聚体（D-Dimer）等20余项为单人份试剂盒包装规格。</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为科室提供多项目单人份试剂使用检测。</w:t>
            </w:r>
          </w:p>
        </w:tc>
      </w:tr>
      <w:tr>
        <w:tblPrEx>
          <w:shd w:val="clear" w:color="auto" w:fill="auto"/>
          <w:tblLayout w:type="fixed"/>
          <w:tblCellMar>
            <w:top w:w="0" w:type="dxa"/>
            <w:left w:w="0" w:type="dxa"/>
            <w:bottom w:w="0" w:type="dxa"/>
            <w:right w:w="0" w:type="dxa"/>
          </w:tblCellMar>
        </w:tblPrEx>
        <w:trPr>
          <w:trHeight w:val="1400"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30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检测时间：单个检测项目出结果时间≤15min，一次性同时可出≥6个测试结果</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急诊科检测结果需要20分钟时间内出，吻合科室需求发展。</w:t>
            </w:r>
          </w:p>
        </w:tc>
      </w:tr>
      <w:tr>
        <w:tblPrEx>
          <w:shd w:val="clear" w:color="auto" w:fill="auto"/>
          <w:tblLayout w:type="fixed"/>
          <w:tblCellMar>
            <w:top w:w="0" w:type="dxa"/>
            <w:left w:w="0" w:type="dxa"/>
            <w:bottom w:w="0" w:type="dxa"/>
            <w:right w:w="0" w:type="dxa"/>
          </w:tblCellMar>
        </w:tblPrEx>
        <w:trPr>
          <w:trHeight w:val="1320"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0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样本位：≥6个样本位，支持原始采血管直接插入使用，仪器自动扫描识别患者信息</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原始采血管直接插入使用，避免及减少人工去离心等复杂前期工作和时间。</w:t>
            </w:r>
          </w:p>
        </w:tc>
      </w:tr>
      <w:tr>
        <w:tblPrEx>
          <w:shd w:val="clear" w:color="auto" w:fill="auto"/>
          <w:tblLayout w:type="fixed"/>
          <w:tblCellMar>
            <w:top w:w="0" w:type="dxa"/>
            <w:left w:w="0" w:type="dxa"/>
            <w:bottom w:w="0" w:type="dxa"/>
            <w:right w:w="0" w:type="dxa"/>
          </w:tblCellMar>
        </w:tblPrEx>
        <w:trPr>
          <w:trHeight w:val="1140"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30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试剂卡类型：采用单人份试剂卡独立包装，白色试剂卡设计，避免检测光因深色环境吸收而衰减，提高灵敏度</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单人份试剂使用为科室检测时避免多人份使用而浪费，降低成本！</w:t>
            </w:r>
          </w:p>
        </w:tc>
      </w:tr>
      <w:tr>
        <w:tblPrEx>
          <w:shd w:val="clear" w:color="auto" w:fill="auto"/>
          <w:tblLayout w:type="fixed"/>
          <w:tblCellMar>
            <w:top w:w="0" w:type="dxa"/>
            <w:left w:w="0" w:type="dxa"/>
            <w:bottom w:w="0" w:type="dxa"/>
            <w:right w:w="0" w:type="dxa"/>
          </w:tblCellMar>
        </w:tblPrEx>
        <w:trPr>
          <w:trHeight w:val="1260"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30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废弃物处理：全封闭的废物收集系统，仪器自动收集所有废弃物，实现固液分离</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干净、整洁。</w:t>
            </w:r>
          </w:p>
        </w:tc>
      </w:tr>
      <w:tr>
        <w:tblPrEx>
          <w:shd w:val="clear" w:color="auto" w:fill="auto"/>
          <w:tblLayout w:type="fixed"/>
          <w:tblCellMar>
            <w:top w:w="0" w:type="dxa"/>
            <w:left w:w="0" w:type="dxa"/>
            <w:bottom w:w="0" w:type="dxa"/>
            <w:right w:w="0" w:type="dxa"/>
          </w:tblCellMar>
        </w:tblPrEx>
        <w:trPr>
          <w:trHeight w:val="1140" w:hRule="atLeast"/>
        </w:trPr>
        <w:tc>
          <w:tcPr>
            <w:tcW w:w="61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30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全自动化：实现加样、混匀、孵育、清洗分离、检测、结果计算、出报告等过程全自动。全程压力监控、智能液面检测，气泡检测，堵针检测。</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21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真正实现一体机操作便捷。</w:t>
            </w:r>
          </w:p>
        </w:tc>
      </w:tr>
    </w:tbl>
    <w:p>
      <w:pPr>
        <w:pStyle w:val="3"/>
        <w:ind w:left="0" w:leftChars="0" w:firstLine="0" w:firstLineChars="0"/>
        <w:rPr>
          <w:rFonts w:hint="eastAsia"/>
          <w:lang w:val="en-US" w:eastAsia="zh-CN"/>
        </w:rPr>
      </w:pPr>
    </w:p>
    <w:p>
      <w:pPr>
        <w:pStyle w:val="2"/>
        <w:rPr>
          <w:rFonts w:hint="eastAsia" w:ascii="黑体" w:hAnsi="黑体" w:eastAsia="黑体" w:cs="黑体"/>
          <w:b w:val="0"/>
          <w:bCs w:val="0"/>
          <w:color w:val="auto"/>
          <w:sz w:val="32"/>
          <w:szCs w:val="32"/>
          <w:lang w:val="en-US" w:eastAsia="zh-CN"/>
        </w:rPr>
        <w:sectPr>
          <w:headerReference r:id="rId3" w:type="default"/>
          <w:pgSz w:w="11906" w:h="16838"/>
          <w:pgMar w:top="1587" w:right="2098" w:bottom="1474" w:left="1928" w:header="851" w:footer="992" w:gutter="0"/>
          <w:lnNumType w:countBy="0" w:restart="continuous"/>
          <w:cols w:space="425" w:num="1"/>
          <w:docGrid w:type="lines" w:linePitch="312" w:charSpace="0"/>
        </w:sectPr>
      </w:pPr>
    </w:p>
    <w:tbl>
      <w:tblPr>
        <w:tblStyle w:val="7"/>
        <w:tblW w:w="12968" w:type="dxa"/>
        <w:tblInd w:w="0" w:type="dxa"/>
        <w:shd w:val="clear" w:color="auto" w:fill="auto"/>
        <w:tblLayout w:type="fixed"/>
        <w:tblCellMar>
          <w:top w:w="0" w:type="dxa"/>
          <w:left w:w="0" w:type="dxa"/>
          <w:bottom w:w="0" w:type="dxa"/>
          <w:right w:w="0" w:type="dxa"/>
        </w:tblCellMar>
      </w:tblPr>
      <w:tblGrid>
        <w:gridCol w:w="777"/>
        <w:gridCol w:w="6245"/>
        <w:gridCol w:w="1950"/>
        <w:gridCol w:w="1677"/>
        <w:gridCol w:w="2319"/>
      </w:tblGrid>
      <w:tr>
        <w:tblPrEx>
          <w:tblLayout w:type="fixed"/>
          <w:tblCellMar>
            <w:top w:w="0" w:type="dxa"/>
            <w:left w:w="0" w:type="dxa"/>
            <w:bottom w:w="0" w:type="dxa"/>
            <w:right w:w="0" w:type="dxa"/>
          </w:tblCellMar>
        </w:tblPrEx>
        <w:trPr>
          <w:trHeight w:val="460" w:hRule="atLeast"/>
        </w:trPr>
        <w:tc>
          <w:tcPr>
            <w:tcW w:w="12968"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w:t>
            </w:r>
            <w:r>
              <w:rPr>
                <w:rFonts w:hint="eastAsia" w:ascii="宋体" w:hAnsi="宋体" w:cs="宋体"/>
                <w:i w:val="0"/>
                <w:color w:val="000000"/>
                <w:kern w:val="0"/>
                <w:sz w:val="22"/>
                <w:szCs w:val="22"/>
                <w:u w:val="none"/>
                <w:lang w:val="en-US" w:eastAsia="zh-CN" w:bidi="ar"/>
              </w:rPr>
              <w:t xml:space="preserve">                            </w:t>
            </w:r>
            <w:r>
              <w:rPr>
                <w:rFonts w:hint="eastAsia" w:ascii="宋体" w:hAnsi="宋体" w:cs="宋体"/>
                <w:b/>
                <w:bCs/>
                <w:i w:val="0"/>
                <w:color w:val="000000"/>
                <w:kern w:val="0"/>
                <w:sz w:val="24"/>
                <w:szCs w:val="24"/>
                <w:u w:val="none"/>
                <w:lang w:val="en-US" w:eastAsia="zh-CN" w:bidi="ar"/>
              </w:rPr>
              <w:t xml:space="preserve">                </w:t>
            </w:r>
            <w:r>
              <w:rPr>
                <w:rFonts w:hint="eastAsia" w:ascii="宋体" w:hAnsi="宋体" w:cs="宋体"/>
                <w:b/>
                <w:bCs/>
                <w:i w:val="0"/>
                <w:color w:val="000000"/>
                <w:kern w:val="0"/>
                <w:sz w:val="28"/>
                <w:szCs w:val="28"/>
                <w:u w:val="none"/>
                <w:lang w:val="en-US" w:eastAsia="zh-CN" w:bidi="ar"/>
              </w:rPr>
              <w:t xml:space="preserve"> </w:t>
            </w:r>
            <w:r>
              <w:rPr>
                <w:rFonts w:hint="eastAsia" w:ascii="宋体" w:hAnsi="宋体" w:eastAsia="宋体" w:cs="宋体"/>
                <w:b/>
                <w:bCs/>
                <w:i w:val="0"/>
                <w:color w:val="000000"/>
                <w:kern w:val="0"/>
                <w:sz w:val="28"/>
                <w:szCs w:val="28"/>
                <w:u w:val="none"/>
                <w:lang w:val="en-US" w:eastAsia="zh-CN" w:bidi="ar"/>
              </w:rPr>
              <w:t>流式细胞仪</w:t>
            </w:r>
            <w:r>
              <w:rPr>
                <w:rFonts w:hint="eastAsia" w:ascii="宋体" w:hAnsi="宋体" w:cs="宋体"/>
                <w:b/>
                <w:bCs/>
                <w:i w:val="0"/>
                <w:color w:val="000000"/>
                <w:kern w:val="0"/>
                <w:sz w:val="28"/>
                <w:szCs w:val="28"/>
                <w:u w:val="none"/>
                <w:lang w:val="en-US" w:eastAsia="zh-CN" w:bidi="ar"/>
              </w:rPr>
              <w:t>参数</w:t>
            </w:r>
            <w:r>
              <w:rPr>
                <w:rFonts w:hint="eastAsia" w:ascii="宋体" w:hAnsi="宋体" w:eastAsia="宋体" w:cs="宋体"/>
                <w:b/>
                <w:bCs/>
                <w:i w:val="0"/>
                <w:color w:val="000000"/>
                <w:kern w:val="0"/>
                <w:sz w:val="28"/>
                <w:szCs w:val="28"/>
                <w:u w:val="none"/>
                <w:lang w:val="en-US" w:eastAsia="zh-CN" w:bidi="ar"/>
              </w:rPr>
              <w:t xml:space="preserve">  </w:t>
            </w:r>
            <w:r>
              <w:rPr>
                <w:rFonts w:hint="eastAsia" w:ascii="宋体" w:hAnsi="宋体" w:eastAsia="宋体" w:cs="宋体"/>
                <w:i w:val="0"/>
                <w:color w:val="000000"/>
                <w:kern w:val="0"/>
                <w:sz w:val="28"/>
                <w:szCs w:val="28"/>
                <w:u w:val="none"/>
                <w:lang w:val="en-US" w:eastAsia="zh-CN" w:bidi="ar"/>
              </w:rPr>
              <w:t xml:space="preserve">        </w:t>
            </w:r>
          </w:p>
        </w:tc>
      </w:tr>
      <w:tr>
        <w:tblPrEx>
          <w:tblLayout w:type="fixed"/>
          <w:tblCellMar>
            <w:top w:w="0" w:type="dxa"/>
            <w:left w:w="0" w:type="dxa"/>
            <w:bottom w:w="0" w:type="dxa"/>
            <w:right w:w="0" w:type="dxa"/>
          </w:tblCellMar>
        </w:tblPrEx>
        <w:trPr>
          <w:trHeight w:val="96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62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参数内容</w:t>
            </w:r>
          </w:p>
        </w:tc>
        <w:tc>
          <w:tcPr>
            <w:tcW w:w="1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是否为符合性条款（双星号条款）</w:t>
            </w:r>
          </w:p>
        </w:tc>
        <w:tc>
          <w:tcPr>
            <w:tcW w:w="16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是否为核心条款（星号条款）</w:t>
            </w:r>
          </w:p>
        </w:tc>
        <w:tc>
          <w:tcPr>
            <w:tcW w:w="23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制定理由</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（符合性条款和核心条款必须说明制定理由）</w:t>
            </w:r>
          </w:p>
        </w:tc>
      </w:tr>
      <w:tr>
        <w:tblPrEx>
          <w:tblLayout w:type="fixed"/>
          <w:tblCellMar>
            <w:top w:w="0" w:type="dxa"/>
            <w:left w:w="0" w:type="dxa"/>
            <w:bottom w:w="0" w:type="dxa"/>
            <w:right w:w="0" w:type="dxa"/>
          </w:tblCellMar>
        </w:tblPrEx>
        <w:trPr>
          <w:trHeight w:val="2862"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62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**光路配置：双光8色，可用染料（FITC,Alexa Fluor 488,CFSE,Fluo-3，PE,PI；ECD,PE-Texas Red,PE-CF594,PI；PerCP,PC5,PC5.5,PerCP-Cy5.5,PI；PE-Cy7；APC,Alexa Fluor 647,eFluor 660；APC-Alexa Fluor 700,Alexa Fluor 700；APC-Cy7,APC-Alexa Fluor 750,APC-H7,APC-eFluor 780</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使用需求</w:t>
            </w:r>
          </w:p>
        </w:tc>
      </w:tr>
      <w:tr>
        <w:tblPrEx>
          <w:tblLayout w:type="fixed"/>
          <w:tblCellMar>
            <w:top w:w="0" w:type="dxa"/>
            <w:left w:w="0" w:type="dxa"/>
            <w:bottom w:w="0" w:type="dxa"/>
            <w:right w:w="0" w:type="dxa"/>
          </w:tblCellMar>
        </w:tblPrEx>
        <w:trPr>
          <w:trHeight w:val="210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62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流式细胞仪的荧光检出限应符合下列要求：</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 a）流式细胞仪对异硫氰酸荧光素（FITC）的荧光检出限应不大于50 MESF；</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 b）流式细胞仪对藻红蛋白（PE）的荧光检出限应不大于30 MESF；</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 c）流式细胞仪对别藻青蛋白（APC）的荧光检出限应不大于50 MESF。</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6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0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62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荧光强度的线性相关系数（r）应不低于0.98。</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6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0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62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前向角散射光检出限应不大于0.5 μm。</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6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2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62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前向角散射光和主要荧光信号的荧光通道分辨率&lt;2%。</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6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0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62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前向角散射光和侧向角散射光分辨率可以将外周血中红细胞和血小板分开；可以将外周血白细胞三群（淋巴细胞、单核细胞、粒细胞）分开。</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6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62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进行二倍体细胞周期分析时G2/M与G0/G1的平均荧光强度比值在1.95~2.05之间。</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6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90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62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检测质控血时，淋巴细胞表面表达的CD3、CD4、CD8、CD16/CD56、和CD19阳性百分比结果在给定范围内。</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6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58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62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重复检测样品CD3、CD4、CD8、CD16/CD56和CD19阳性百分比结果的变异系数（CV）符合：</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阳性百分比平均值大于等于30%时，CV值应不大于8%；或阳性百分比平均值小于30%时，CV值应不大于15%。</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6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0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62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流式细胞的仪携带污染率不大于0.1%。</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6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42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62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**准确性指标：绝对计数可测量的范围为0-4000 个/uL：当浓度较高时（500-4000 个/uL），测量相对误差在±10%范围内；当浓度较低时（0~500个/uL），测量绝对误差在±50 范围内。</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使用需求</w:t>
            </w:r>
          </w:p>
        </w:tc>
      </w:tr>
      <w:tr>
        <w:tblPrEx>
          <w:tblLayout w:type="fixed"/>
          <w:tblCellMar>
            <w:top w:w="0" w:type="dxa"/>
            <w:left w:w="0" w:type="dxa"/>
            <w:bottom w:w="0" w:type="dxa"/>
            <w:right w:w="0" w:type="dxa"/>
          </w:tblCellMar>
        </w:tblPrEx>
        <w:trPr>
          <w:trHeight w:val="76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62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**精密度指标：CV&lt;5% （500-4000 个/uL），标准差&lt; 25（0~500个/uL）。</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使用需求</w:t>
            </w:r>
          </w:p>
        </w:tc>
      </w:tr>
      <w:tr>
        <w:tblPrEx>
          <w:tblLayout w:type="fixed"/>
          <w:tblCellMar>
            <w:top w:w="0" w:type="dxa"/>
            <w:left w:w="0" w:type="dxa"/>
            <w:bottom w:w="0" w:type="dxa"/>
            <w:right w:w="0" w:type="dxa"/>
          </w:tblCellMar>
        </w:tblPrEx>
        <w:trPr>
          <w:trHeight w:val="94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62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*环境温度变化不超过设定温度的5%时，在8 h内检测前向角散射光（FSC）及所有荧光通道峰值荧光道数的波动范围不超过±10%。</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6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使用需求</w:t>
            </w:r>
          </w:p>
        </w:tc>
      </w:tr>
      <w:tr>
        <w:tblPrEx>
          <w:tblLayout w:type="fixed"/>
          <w:tblCellMar>
            <w:top w:w="0" w:type="dxa"/>
            <w:left w:w="0" w:type="dxa"/>
            <w:bottom w:w="0" w:type="dxa"/>
            <w:right w:w="0" w:type="dxa"/>
          </w:tblCellMar>
        </w:tblPrEx>
        <w:trPr>
          <w:trHeight w:val="94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6245"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如需特殊实验台面，安装电脑桌面供应商提供</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6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94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62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**LIS系统的连接，汲及相关费用由供应商与LIS公司商谈，供应商承担。</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使用需求</w:t>
            </w:r>
          </w:p>
        </w:tc>
      </w:tr>
      <w:tr>
        <w:tblPrEx>
          <w:tblLayout w:type="fixed"/>
          <w:tblCellMar>
            <w:top w:w="0" w:type="dxa"/>
            <w:left w:w="0" w:type="dxa"/>
            <w:bottom w:w="0" w:type="dxa"/>
            <w:right w:w="0" w:type="dxa"/>
          </w:tblCellMar>
        </w:tblPrEx>
        <w:trPr>
          <w:trHeight w:val="94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62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装机前供应商确认仪器安装环境要求是否达标，因安装环境的特殊要求不能满足，无法保证设备正常运行的，供应商负责。</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6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94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6245"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装机时提供各类实验项目试机试剂耗材不低于50人次</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6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94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62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报告打印：打印机一台</w:t>
            </w:r>
            <w:r>
              <w:rPr>
                <w:rFonts w:hint="eastAsia" w:ascii="宋体" w:hAnsi="宋体" w:cs="宋体"/>
                <w:i w:val="0"/>
                <w:color w:val="000000"/>
                <w:kern w:val="0"/>
                <w:sz w:val="22"/>
                <w:szCs w:val="22"/>
                <w:u w:val="none"/>
                <w:lang w:val="en-US" w:eastAsia="zh-CN" w:bidi="ar"/>
              </w:rPr>
              <w:t>（确保该打印机能与流式细胞仪相连接）</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bookmarkStart w:id="13" w:name="_GoBack"/>
            <w:bookmarkEnd w:id="13"/>
          </w:p>
        </w:tc>
        <w:tc>
          <w:tcPr>
            <w:tcW w:w="16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940" w:hRule="atLeast"/>
        </w:trPr>
        <w:tc>
          <w:tcPr>
            <w:tcW w:w="7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62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电脑套装</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6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bl>
    <w:p>
      <w:pPr>
        <w:ind w:left="0" w:leftChars="0" w:firstLine="0" w:firstLineChars="0"/>
        <w:jc w:val="both"/>
        <w:rPr>
          <w:rFonts w:hint="eastAsia" w:ascii="宋体" w:hAnsi="宋体" w:eastAsia="宋体" w:cs="宋体"/>
          <w:b/>
          <w:color w:val="auto"/>
          <w:sz w:val="28"/>
          <w:szCs w:val="28"/>
          <w:lang w:val="en-US" w:eastAsia="zh-CN"/>
        </w:rPr>
        <w:sectPr>
          <w:pgSz w:w="16838" w:h="11906" w:orient="landscape"/>
          <w:pgMar w:top="1928" w:right="1587" w:bottom="2098" w:left="1474" w:header="851" w:footer="992" w:gutter="0"/>
          <w:lnNumType w:countBy="0" w:restart="continuous"/>
          <w:cols w:space="425" w:num="1"/>
          <w:docGrid w:type="lines" w:linePitch="312" w:charSpace="0"/>
        </w:sectPr>
      </w:pPr>
    </w:p>
    <w:p>
      <w:pPr>
        <w:ind w:firstLine="2530" w:firstLineChars="900"/>
        <w:jc w:val="both"/>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响应材料格式提交模版</w:t>
      </w:r>
    </w:p>
    <w:p>
      <w:pPr>
        <w:pStyle w:val="2"/>
        <w:rPr>
          <w:rFonts w:hint="default"/>
          <w:lang w:val="en-US" w:eastAsia="zh-CN"/>
        </w:rPr>
      </w:pPr>
    </w:p>
    <w:p>
      <w:pPr>
        <w:widowControl/>
        <w:spacing w:line="360" w:lineRule="auto"/>
        <w:jc w:val="center"/>
        <w:rPr>
          <w:rFonts w:hint="eastAsia" w:ascii="宋体" w:hAnsi="宋体" w:eastAsia="宋体" w:cs="宋体"/>
          <w:b/>
          <w:bCs/>
          <w:color w:val="auto"/>
          <w:sz w:val="24"/>
          <w:szCs w:val="24"/>
        </w:rPr>
      </w:pPr>
      <w:r>
        <w:rPr>
          <w:rFonts w:hint="eastAsia" w:ascii="宋体" w:hAnsi="宋体" w:eastAsia="宋体" w:cs="宋体"/>
          <w:b/>
          <w:bCs/>
          <w:sz w:val="24"/>
          <w:szCs w:val="24"/>
          <w:lang w:val="en-US" w:eastAsia="zh-CN"/>
        </w:rPr>
        <w:t xml:space="preserve">1. </w:t>
      </w:r>
      <w:r>
        <w:rPr>
          <w:rFonts w:hint="eastAsia" w:ascii="宋体" w:hAnsi="宋体" w:eastAsia="宋体" w:cs="宋体"/>
          <w:b/>
          <w:bCs/>
          <w:sz w:val="24"/>
          <w:szCs w:val="24"/>
        </w:rPr>
        <w:t>供应商法人身份证复印件、经办人身份证复印件、经办人授权书</w:t>
      </w:r>
    </w:p>
    <w:p>
      <w:pPr>
        <w:widowControl/>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1.1</w:t>
      </w:r>
      <w:r>
        <w:rPr>
          <w:rFonts w:hint="eastAsia" w:ascii="宋体" w:hAnsi="宋体" w:eastAsia="宋体" w:cs="宋体"/>
          <w:b/>
          <w:color w:val="auto"/>
          <w:sz w:val="24"/>
          <w:szCs w:val="24"/>
        </w:rPr>
        <w:t>法定代表人身份证明</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（电子盖章） </w:t>
      </w:r>
    </w:p>
    <w:p>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p>
    <w:tbl>
      <w:tblPr>
        <w:tblStyle w:val="7"/>
        <w:tblW w:w="9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7" w:hRule="atLeast"/>
          <w:jc w:val="center"/>
        </w:trPr>
        <w:tc>
          <w:tcPr>
            <w:tcW w:w="492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606"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bookmarkStart w:id="0" w:name="_Toc1467862"/>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 xml:space="preserve"> 1.2</w:t>
      </w:r>
      <w:r>
        <w:rPr>
          <w:rFonts w:hint="eastAsia" w:ascii="宋体" w:hAnsi="宋体" w:eastAsia="宋体" w:cs="宋体"/>
          <w:b/>
          <w:color w:val="auto"/>
          <w:sz w:val="24"/>
          <w:szCs w:val="24"/>
        </w:rPr>
        <w:t>法定代表人授权委托书</w:t>
      </w:r>
      <w:bookmarkEnd w:id="0"/>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本人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（申请人名称）的法定代表人，现委托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（姓名）为我方代理人。代理人根据授权，以我方名义签署、澄清、递交、撤回、修改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填写项目名称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招标资格审查申请文件，其法律后果由我方承担。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委托期限：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代理人无转委托权。 </w:t>
      </w:r>
    </w:p>
    <w:p>
      <w:pPr>
        <w:rPr>
          <w:rFonts w:hint="eastAsia" w:ascii="仿宋" w:hAnsi="仿宋" w:eastAsia="仿宋" w:cs="仿宋"/>
          <w:color w:val="auto"/>
          <w:sz w:val="24"/>
          <w:szCs w:val="24"/>
        </w:rPr>
      </w:pPr>
    </w:p>
    <w:p>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pPr>
        <w:spacing w:line="360" w:lineRule="auto"/>
        <w:ind w:firstLine="120" w:firstLineChars="50"/>
        <w:rPr>
          <w:rFonts w:hint="eastAsia" w:ascii="宋体" w:hAnsi="宋体" w:eastAsia="宋体" w:cs="宋体"/>
          <w:color w:val="auto"/>
          <w:sz w:val="24"/>
          <w:szCs w:val="24"/>
        </w:rPr>
      </w:pPr>
    </w:p>
    <w:tbl>
      <w:tblPr>
        <w:tblStyle w:val="7"/>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30" w:hRule="atLeast"/>
          <w:jc w:val="center"/>
        </w:trPr>
        <w:tc>
          <w:tcPr>
            <w:tcW w:w="488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777"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8"/>
          <w:szCs w:val="28"/>
        </w:rPr>
        <w:t>注：若投标供应商法定代表人出席的只需提供法定代表人身份证明书</w:t>
      </w: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cs="宋体"/>
          <w:b/>
          <w:bCs/>
          <w:sz w:val="24"/>
          <w:szCs w:val="24"/>
          <w:lang w:val="en-US" w:eastAsia="zh-CN"/>
        </w:rPr>
      </w:pPr>
    </w:p>
    <w:p>
      <w:pPr>
        <w:numPr>
          <w:ilvl w:val="0"/>
          <w:numId w:val="0"/>
        </w:numPr>
        <w:bidi w:val="0"/>
        <w:ind w:firstLine="562" w:firstLineChars="200"/>
        <w:rPr>
          <w:rFonts w:hint="eastAsia" w:ascii="宋体" w:hAnsi="宋体" w:eastAsia="宋体" w:cs="宋体"/>
          <w:b/>
          <w:bCs/>
          <w:sz w:val="28"/>
          <w:szCs w:val="28"/>
        </w:rPr>
      </w:pPr>
      <w:r>
        <w:rPr>
          <w:rFonts w:hint="eastAsia" w:ascii="宋体" w:hAnsi="宋体" w:cs="宋体"/>
          <w:b/>
          <w:bCs/>
          <w:sz w:val="28"/>
          <w:szCs w:val="28"/>
          <w:lang w:val="en-US" w:eastAsia="zh-CN"/>
        </w:rPr>
        <w:t xml:space="preserve">2. </w:t>
      </w:r>
      <w:r>
        <w:rPr>
          <w:rFonts w:hint="eastAsia" w:ascii="宋体" w:hAnsi="宋体" w:eastAsia="宋体" w:cs="宋体"/>
          <w:b/>
          <w:bCs/>
          <w:sz w:val="28"/>
          <w:szCs w:val="28"/>
          <w:lang w:val="en-US" w:eastAsia="zh-CN"/>
        </w:rPr>
        <w:t>提供有效期内</w:t>
      </w:r>
      <w:r>
        <w:rPr>
          <w:rFonts w:hint="eastAsia" w:ascii="宋体" w:hAnsi="宋体" w:eastAsia="宋体" w:cs="宋体"/>
          <w:b/>
          <w:bCs/>
          <w:sz w:val="28"/>
          <w:szCs w:val="28"/>
        </w:rPr>
        <w:t>的营业执照副本、税务登记证、组织机构代码证或“三证合一”营业执照。</w:t>
      </w:r>
    </w:p>
    <w:p>
      <w:pPr>
        <w:numPr>
          <w:ilvl w:val="0"/>
          <w:numId w:val="0"/>
        </w:numPr>
        <w:ind w:leftChars="0" w:firstLine="560" w:firstLineChars="200"/>
        <w:rPr>
          <w:rFonts w:hint="eastAsia" w:ascii="宋体" w:hAnsi="宋体" w:eastAsia="宋体" w:cs="宋体"/>
          <w:sz w:val="28"/>
          <w:szCs w:val="28"/>
          <w:lang w:val="en-US" w:eastAsia="zh-CN"/>
        </w:rPr>
      </w:pPr>
      <w:r>
        <w:rPr>
          <w:rFonts w:hint="eastAsia" w:ascii="宋体" w:hAnsi="宋体" w:eastAsia="宋体" w:cs="宋体"/>
          <w:b w:val="0"/>
          <w:bCs/>
          <w:color w:val="auto"/>
          <w:sz w:val="28"/>
          <w:szCs w:val="28"/>
          <w:lang w:val="en-US" w:eastAsia="zh-CN"/>
        </w:rPr>
        <w:t>2.1供应商</w:t>
      </w:r>
      <w:r>
        <w:rPr>
          <w:rFonts w:hint="eastAsia" w:ascii="宋体" w:hAnsi="宋体" w:eastAsia="宋体" w:cs="宋体"/>
          <w:color w:val="auto"/>
          <w:sz w:val="28"/>
          <w:szCs w:val="28"/>
        </w:rPr>
        <w:t>须具有合法有效的营业执照、税务登记证、组织机构代码证等（或“三证合一”的统一社会代码营业执照）证照原件的</w:t>
      </w:r>
      <w:r>
        <w:rPr>
          <w:rFonts w:hint="eastAsia" w:ascii="宋体" w:hAnsi="宋体" w:cs="宋体"/>
          <w:color w:val="auto"/>
          <w:sz w:val="28"/>
          <w:szCs w:val="28"/>
          <w:lang w:val="en-US" w:eastAsia="zh-CN"/>
        </w:rPr>
        <w:t>复印件</w:t>
      </w:r>
      <w:r>
        <w:rPr>
          <w:rFonts w:hint="eastAsia" w:ascii="宋体" w:hAnsi="宋体" w:eastAsia="宋体" w:cs="宋体"/>
          <w:color w:val="auto"/>
          <w:sz w:val="28"/>
          <w:szCs w:val="28"/>
        </w:rPr>
        <w:t>。</w:t>
      </w:r>
    </w:p>
    <w:p>
      <w:pPr>
        <w:bidi w:val="0"/>
        <w:ind w:firstLine="562" w:firstLineChars="200"/>
        <w:rPr>
          <w:rFonts w:hint="eastAsia" w:ascii="宋体" w:hAnsi="宋体" w:eastAsia="宋体" w:cs="宋体"/>
          <w:b/>
          <w:bCs/>
          <w:sz w:val="28"/>
          <w:szCs w:val="28"/>
          <w:lang w:val="en-US" w:eastAsia="zh-CN"/>
        </w:rPr>
      </w:pPr>
    </w:p>
    <w:p>
      <w:pPr>
        <w:bidi w:val="0"/>
        <w:ind w:firstLine="562" w:firstLineChars="20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ind w:firstLine="562" w:firstLineChars="200"/>
        <w:rPr>
          <w:rFonts w:hint="eastAsia" w:ascii="宋体" w:hAnsi="宋体" w:eastAsia="宋体" w:cs="宋体"/>
          <w:b/>
          <w:bCs/>
          <w:sz w:val="28"/>
          <w:szCs w:val="28"/>
          <w:lang w:val="en-US"/>
        </w:rPr>
      </w:pPr>
      <w:r>
        <w:rPr>
          <w:rFonts w:hint="eastAsia" w:ascii="宋体" w:hAnsi="宋体" w:eastAsia="宋体" w:cs="宋体"/>
          <w:b/>
          <w:bCs/>
          <w:sz w:val="28"/>
          <w:szCs w:val="28"/>
          <w:lang w:val="en-US" w:eastAsia="zh-CN"/>
        </w:rPr>
        <w:t>2.2</w:t>
      </w:r>
      <w:r>
        <w:rPr>
          <w:rFonts w:hint="eastAsia" w:ascii="宋体" w:hAnsi="宋体" w:eastAsia="宋体" w:cs="宋体"/>
          <w:b/>
          <w:bCs/>
          <w:sz w:val="28"/>
          <w:szCs w:val="28"/>
          <w:lang w:val="en-US"/>
        </w:rPr>
        <w:t>投标人根据自身情况提供以</w:t>
      </w:r>
      <w:r>
        <w:rPr>
          <w:rFonts w:hint="eastAsia" w:ascii="宋体" w:hAnsi="宋体" w:eastAsia="宋体" w:cs="宋体"/>
          <w:b/>
          <w:bCs/>
          <w:sz w:val="28"/>
          <w:szCs w:val="28"/>
          <w:lang w:val="en-US" w:eastAsia="zh-CN"/>
        </w:rPr>
        <w:t>下</w:t>
      </w:r>
      <w:r>
        <w:rPr>
          <w:rFonts w:hint="eastAsia" w:ascii="宋体" w:hAnsi="宋体" w:eastAsia="宋体" w:cs="宋体"/>
          <w:b/>
          <w:bCs/>
          <w:sz w:val="28"/>
          <w:szCs w:val="28"/>
          <w:lang w:val="en-US"/>
        </w:rPr>
        <w:t>任意一种证明材料即可。</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（1）近</w:t>
      </w:r>
      <w:r>
        <w:rPr>
          <w:rFonts w:hint="eastAsia" w:ascii="宋体" w:hAnsi="宋体" w:eastAsia="宋体" w:cs="宋体"/>
          <w:sz w:val="28"/>
          <w:szCs w:val="28"/>
          <w:lang w:val="en-US" w:eastAsia="zh-CN"/>
        </w:rPr>
        <w:t>三</w:t>
      </w:r>
      <w:r>
        <w:rPr>
          <w:rFonts w:hint="eastAsia" w:ascii="宋体" w:hAnsi="宋体" w:eastAsia="宋体" w:cs="宋体"/>
          <w:sz w:val="28"/>
          <w:szCs w:val="28"/>
          <w:lang w:val="en-US"/>
        </w:rPr>
        <w:t>年内</w:t>
      </w:r>
      <w:r>
        <w:rPr>
          <w:rFonts w:hint="eastAsia" w:ascii="宋体" w:hAnsi="宋体" w:eastAsia="宋体" w:cs="宋体"/>
          <w:sz w:val="28"/>
          <w:szCs w:val="28"/>
          <w:lang w:val="en-US" w:eastAsia="zh-CN"/>
        </w:rPr>
        <w:t>任意一年</w:t>
      </w:r>
      <w:r>
        <w:rPr>
          <w:rFonts w:hint="eastAsia" w:ascii="宋体" w:hAnsi="宋体" w:eastAsia="宋体" w:cs="宋体"/>
          <w:sz w:val="28"/>
          <w:szCs w:val="28"/>
          <w:lang w:val="en-US"/>
        </w:rPr>
        <w:t>财务报表</w:t>
      </w:r>
      <w:r>
        <w:rPr>
          <w:rFonts w:hint="eastAsia" w:ascii="宋体" w:hAnsi="宋体" w:eastAsia="宋体" w:cs="宋体"/>
          <w:sz w:val="28"/>
          <w:szCs w:val="28"/>
        </w:rPr>
        <w:t>（须包含资产负债表、利润表、现金流量表）</w:t>
      </w:r>
      <w:r>
        <w:rPr>
          <w:rFonts w:hint="eastAsia" w:ascii="宋体" w:hAnsi="宋体" w:eastAsia="宋体" w:cs="宋体"/>
          <w:sz w:val="28"/>
          <w:szCs w:val="28"/>
          <w:lang w:val="en-US"/>
        </w:rPr>
        <w:t>或审计报告，新成立不足一年的投标人可提供成立至今自身出具的财务报表(</w:t>
      </w:r>
      <w:r>
        <w:rPr>
          <w:rFonts w:hint="eastAsia" w:ascii="宋体" w:hAnsi="宋体" w:eastAsia="宋体" w:cs="宋体"/>
          <w:sz w:val="28"/>
          <w:szCs w:val="28"/>
        </w:rPr>
        <w:t>须</w:t>
      </w:r>
      <w:r>
        <w:rPr>
          <w:rFonts w:hint="eastAsia" w:ascii="宋体" w:hAnsi="宋体" w:eastAsia="宋体" w:cs="宋体"/>
          <w:sz w:val="28"/>
          <w:szCs w:val="28"/>
          <w:lang w:val="en-US"/>
        </w:rPr>
        <w:t>包含资产负债表、利润表、现金流量表)，非营利性单位或者社会团体或者其他机关事业单位以符合财务会计制度为准；</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（2）投标截止时间前三个月内基本账户银行出具的资信证明；</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（3）财政部门认可的政府采购专业担保机构出具的投标担保函（须同时提供专业担保机构经财政部门认可的证明文件）。</w:t>
      </w:r>
    </w:p>
    <w:p>
      <w:pPr>
        <w:numPr>
          <w:ilvl w:val="0"/>
          <w:numId w:val="0"/>
        </w:numPr>
        <w:ind w:leftChars="0"/>
        <w:rPr>
          <w:rFonts w:hint="eastAsia" w:ascii="宋体" w:hAnsi="宋体" w:eastAsia="宋体" w:cs="宋体"/>
          <w:sz w:val="28"/>
          <w:szCs w:val="28"/>
          <w:lang w:val="en-US" w:eastAsia="zh-CN"/>
        </w:rPr>
      </w:pPr>
    </w:p>
    <w:p>
      <w:pPr>
        <w:pStyle w:val="5"/>
        <w:rPr>
          <w:rFonts w:hint="eastAsia" w:ascii="宋体" w:hAnsi="宋体" w:eastAsia="宋体" w:cs="宋体"/>
          <w:sz w:val="28"/>
          <w:szCs w:val="28"/>
          <w:lang w:val="en-US" w:eastAsia="zh-CN"/>
        </w:rPr>
      </w:pPr>
    </w:p>
    <w:p>
      <w:pPr>
        <w:widowControl/>
        <w:jc w:val="both"/>
        <w:rPr>
          <w:rFonts w:hint="eastAsia" w:ascii="宋体" w:hAnsi="宋体" w:eastAsia="宋体" w:cs="宋体"/>
          <w:b/>
          <w:color w:val="auto"/>
          <w:sz w:val="28"/>
          <w:szCs w:val="28"/>
        </w:rPr>
      </w:pPr>
    </w:p>
    <w:p>
      <w:pPr>
        <w:widowControl/>
        <w:ind w:firstLine="1687" w:firstLineChars="600"/>
        <w:jc w:val="both"/>
        <w:rPr>
          <w:rFonts w:hint="eastAsia" w:ascii="宋体" w:hAnsi="宋体" w:eastAsia="宋体" w:cs="宋体"/>
          <w:b/>
          <w:color w:val="auto"/>
          <w:sz w:val="28"/>
          <w:szCs w:val="28"/>
        </w:rPr>
      </w:pPr>
    </w:p>
    <w:p>
      <w:pPr>
        <w:widowControl/>
        <w:ind w:firstLine="1687" w:firstLineChars="600"/>
        <w:jc w:val="both"/>
        <w:rPr>
          <w:rFonts w:hint="eastAsia" w:ascii="宋体" w:hAnsi="宋体" w:eastAsia="宋体" w:cs="宋体"/>
          <w:sz w:val="28"/>
          <w:szCs w:val="28"/>
          <w:lang w:val="en-US" w:eastAsia="zh-CN"/>
        </w:rPr>
      </w:pPr>
      <w:r>
        <w:rPr>
          <w:rFonts w:hint="eastAsia" w:ascii="宋体" w:hAnsi="宋体" w:eastAsia="宋体" w:cs="宋体"/>
          <w:b/>
          <w:color w:val="auto"/>
          <w:sz w:val="28"/>
          <w:szCs w:val="28"/>
        </w:rPr>
        <w:t>有依法缴纳税收和社会保障资金的良好记录</w:t>
      </w:r>
    </w:p>
    <w:p>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2.3</w:t>
      </w:r>
      <w:r>
        <w:rPr>
          <w:rFonts w:hint="eastAsia" w:ascii="宋体" w:hAnsi="宋体" w:eastAsia="宋体" w:cs="宋体"/>
          <w:sz w:val="28"/>
          <w:szCs w:val="28"/>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2.4</w:t>
      </w:r>
      <w:r>
        <w:rPr>
          <w:rFonts w:hint="eastAsia" w:ascii="宋体" w:hAnsi="宋体" w:eastAsia="宋体" w:cs="宋体"/>
          <w:sz w:val="28"/>
          <w:szCs w:val="28"/>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pPr>
        <w:pStyle w:val="5"/>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5"/>
        <w:rPr>
          <w:rFonts w:hint="eastAsia" w:ascii="宋体" w:hAnsi="宋体" w:eastAsia="宋体" w:cs="宋体"/>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2.5提供具备履行合同所必需的设备和专业技术能力的证明材料或承诺。</w:t>
      </w:r>
    </w:p>
    <w:p>
      <w:pPr>
        <w:numPr>
          <w:ilvl w:val="0"/>
          <w:numId w:val="0"/>
        </w:numPr>
        <w:spacing w:line="360" w:lineRule="auto"/>
        <w:ind w:left="240" w:leftChars="0"/>
        <w:jc w:val="both"/>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kern w:val="2"/>
          <w:sz w:val="28"/>
          <w:szCs w:val="28"/>
          <w:lang w:val="en-US" w:eastAsia="zh-CN" w:bidi="ar-SA"/>
        </w:rPr>
        <w:t>具有履行合同所必需的产品和专业技术能力，能满足本项目的供货和服务并提供相关证明材料或声明函。</w:t>
      </w:r>
    </w:p>
    <w:p>
      <w:pPr>
        <w:bidi w:val="0"/>
        <w:rPr>
          <w:rFonts w:hint="eastAsia" w:ascii="宋体" w:hAnsi="宋体" w:eastAsia="宋体" w:cs="宋体"/>
          <w:b/>
          <w:bCs/>
          <w:sz w:val="28"/>
          <w:szCs w:val="28"/>
          <w:lang w:val="en-US" w:eastAsia="zh-CN"/>
        </w:rPr>
      </w:pPr>
    </w:p>
    <w:p>
      <w:pPr>
        <w:keepNext w:val="0"/>
        <w:keepLines w:val="0"/>
        <w:pageBreakBefore w:val="0"/>
        <w:kinsoku/>
        <w:wordWrap/>
        <w:overflowPunct/>
        <w:topLinePunct w:val="0"/>
        <w:autoSpaceDE/>
        <w:autoSpaceDN/>
        <w:bidi w:val="0"/>
        <w:spacing w:afterAutospacing="0" w:line="600" w:lineRule="exact"/>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2.6</w:t>
      </w:r>
      <w:r>
        <w:rPr>
          <w:rFonts w:hint="eastAsia" w:asciiTheme="minorEastAsia" w:hAnsiTheme="minorEastAsia" w:eastAsiaTheme="minorEastAsia" w:cstheme="minorEastAsia"/>
          <w:color w:val="auto"/>
          <w:sz w:val="28"/>
          <w:szCs w:val="28"/>
          <w:lang w:val="en-US"/>
        </w:rPr>
        <w:t>参加政府采购活动前三年内，在经营活动中没有重大违法记录</w:t>
      </w:r>
      <w:r>
        <w:rPr>
          <w:rFonts w:hint="eastAsia" w:asciiTheme="minorEastAsia" w:hAnsiTheme="minorEastAsia" w:eastAsiaTheme="minorEastAsia" w:cstheme="minorEastAsia"/>
          <w:color w:val="auto"/>
          <w:sz w:val="28"/>
          <w:szCs w:val="28"/>
          <w:lang w:val="en-US" w:eastAsia="zh-CN"/>
        </w:rPr>
        <w:t>及违规违纪行为。</w:t>
      </w:r>
    </w:p>
    <w:p>
      <w:pPr>
        <w:bidi w:val="0"/>
        <w:rPr>
          <w:rFonts w:hint="eastAsia" w:ascii="宋体" w:hAnsi="宋体" w:eastAsia="宋体" w:cs="宋体"/>
          <w:sz w:val="28"/>
          <w:szCs w:val="28"/>
          <w:lang w:val="en-US" w:eastAsia="zh-CN"/>
        </w:rPr>
      </w:pPr>
      <w:r>
        <w:rPr>
          <w:rFonts w:hint="eastAsia" w:asciiTheme="minorEastAsia" w:hAnsiTheme="minorEastAsia" w:eastAsiaTheme="minorEastAsia" w:cstheme="minorEastAsia"/>
          <w:color w:val="auto"/>
          <w:sz w:val="28"/>
          <w:szCs w:val="28"/>
          <w:lang w:val="en-US" w:eastAsia="zh-CN"/>
        </w:rPr>
        <w:t>2.6.1</w:t>
      </w:r>
      <w:r>
        <w:rPr>
          <w:rFonts w:hint="eastAsia" w:asciiTheme="minorEastAsia" w:hAnsiTheme="minorEastAsia" w:eastAsiaTheme="minorEastAsia" w:cstheme="minorEastAsia"/>
          <w:color w:val="auto"/>
          <w:sz w:val="28"/>
          <w:szCs w:val="28"/>
          <w:lang w:val="en-US"/>
        </w:rPr>
        <w:t>提供参加政府采购活动前三年内在经营活动中没有重大违法记录及违规违纪行为的书面声明</w:t>
      </w:r>
      <w:r>
        <w:rPr>
          <w:rFonts w:hint="eastAsia" w:ascii="宋体" w:hAnsi="宋体" w:eastAsia="宋体" w:cs="宋体"/>
          <w:sz w:val="28"/>
          <w:szCs w:val="28"/>
          <w:lang w:val="en-US" w:eastAsia="zh-CN"/>
        </w:rPr>
        <w:t>。</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致：[采购单位名称]</w:t>
      </w:r>
    </w:p>
    <w:p>
      <w:pPr>
        <w:pStyle w:val="3"/>
        <w:rPr>
          <w:rFonts w:hint="eastAsia"/>
          <w:lang w:val="en-US" w:eastAsia="zh-CN"/>
        </w:rPr>
      </w:pP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我单位[投标人全称]，统一社会信用代码为[具体代码]，现参与贵方组织的[项目名称]（项目编号：[具体编号]）的投标活动。在此，郑重作出如下声明：</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特此声明！</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投标人名称（加盖公章）：____________________</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法定代表人/负责人（签字或盖章）：____________________</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日期：______年____月____日</w:t>
      </w:r>
    </w:p>
    <w:p>
      <w:pPr>
        <w:pStyle w:val="2"/>
        <w:rPr>
          <w:rFonts w:hint="eastAsia"/>
          <w:lang w:val="en-US" w:eastAsia="zh-CN"/>
        </w:rPr>
      </w:pPr>
    </w:p>
    <w:p>
      <w:pPr>
        <w:pStyle w:val="2"/>
        <w:rPr>
          <w:rFonts w:hint="eastAsia"/>
          <w:lang w:val="en-US" w:eastAsia="zh-CN"/>
        </w:rPr>
      </w:pP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2.6.2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pPr>
        <w:pStyle w:val="5"/>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bidi w:val="0"/>
        <w:ind w:left="0" w:leftChars="0" w:firstLine="0" w:firstLineChars="0"/>
        <w:rPr>
          <w:rFonts w:hint="eastAsia" w:ascii="宋体" w:hAnsi="宋体" w:cs="宋体"/>
          <w:sz w:val="28"/>
          <w:szCs w:val="28"/>
          <w:lang w:val="en-US" w:eastAsia="zh-CN"/>
        </w:rPr>
      </w:pPr>
    </w:p>
    <w:p>
      <w:pPr>
        <w:bidi w:val="0"/>
        <w:ind w:left="0" w:leftChars="0" w:firstLine="0" w:firstLineChars="0"/>
        <w:rPr>
          <w:rFonts w:hint="eastAsia" w:ascii="宋体" w:hAnsi="宋体" w:cs="宋体"/>
          <w:sz w:val="28"/>
          <w:szCs w:val="28"/>
          <w:lang w:val="en-US" w:eastAsia="zh-CN"/>
        </w:rPr>
      </w:pPr>
    </w:p>
    <w:p>
      <w:pPr>
        <w:bidi w:val="0"/>
        <w:ind w:left="0" w:leftChars="0" w:firstLine="0" w:firstLineChars="0"/>
        <w:rPr>
          <w:rFonts w:hint="eastAsia" w:ascii="宋体" w:hAnsi="宋体" w:eastAsia="宋体" w:cs="宋体"/>
          <w:sz w:val="28"/>
          <w:szCs w:val="28"/>
          <w:lang w:val="en-US" w:eastAsia="zh-CN"/>
        </w:rPr>
      </w:pPr>
      <w:r>
        <w:rPr>
          <w:rFonts w:hint="eastAsia" w:ascii="宋体" w:hAnsi="宋体" w:cs="宋体"/>
          <w:sz w:val="28"/>
          <w:szCs w:val="28"/>
          <w:lang w:val="en-US" w:eastAsia="zh-CN"/>
        </w:rPr>
        <w:t>3</w:t>
      </w:r>
      <w:r>
        <w:rPr>
          <w:rFonts w:hint="eastAsia" w:ascii="宋体" w:hAnsi="宋体" w:eastAsia="宋体" w:cs="宋体"/>
          <w:sz w:val="28"/>
          <w:szCs w:val="28"/>
          <w:lang w:val="en-US" w:eastAsia="zh-CN"/>
        </w:rPr>
        <w:t>. 投标人资质证明材料：</w:t>
      </w:r>
    </w:p>
    <w:p>
      <w:pPr>
        <w:bidi w:val="0"/>
        <w:rPr>
          <w:rFonts w:hint="eastAsia" w:ascii="宋体" w:hAnsi="宋体" w:eastAsia="宋体" w:cs="宋体"/>
          <w:sz w:val="28"/>
          <w:szCs w:val="28"/>
        </w:rPr>
      </w:pPr>
      <w:r>
        <w:rPr>
          <w:rFonts w:hint="eastAsia" w:ascii="宋体" w:hAnsi="宋体" w:eastAsia="宋体" w:cs="宋体"/>
          <w:sz w:val="28"/>
          <w:szCs w:val="28"/>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宋体" w:hAnsi="宋体" w:eastAsia="宋体" w:cs="宋体"/>
          <w:sz w:val="28"/>
          <w:szCs w:val="28"/>
          <w:lang w:eastAsia="zh-CN"/>
        </w:rPr>
        <w:t>提供</w:t>
      </w:r>
      <w:r>
        <w:rPr>
          <w:rFonts w:hint="eastAsia" w:ascii="宋体" w:hAnsi="宋体" w:eastAsia="宋体" w:cs="宋体"/>
          <w:sz w:val="28"/>
          <w:szCs w:val="28"/>
        </w:rPr>
        <w:t>医疗器械产品注册证</w:t>
      </w:r>
      <w:r>
        <w:rPr>
          <w:rFonts w:hint="eastAsia" w:ascii="宋体" w:hAnsi="宋体" w:eastAsia="宋体" w:cs="宋体"/>
          <w:sz w:val="28"/>
          <w:szCs w:val="28"/>
          <w:lang w:val="en-US" w:eastAsia="zh-CN"/>
        </w:rPr>
        <w:t>/医疗器械备案凭证</w:t>
      </w:r>
      <w:r>
        <w:rPr>
          <w:rFonts w:hint="eastAsia" w:ascii="宋体" w:hAnsi="宋体" w:eastAsia="宋体" w:cs="宋体"/>
          <w:sz w:val="28"/>
          <w:szCs w:val="28"/>
        </w:rPr>
        <w:t>（根据中华人民共和国国务院令第739号《医疗器械监督管理条例》和国家药品监督管理</w:t>
      </w:r>
      <w:r>
        <w:rPr>
          <w:rFonts w:hint="eastAsia" w:ascii="宋体" w:hAnsi="宋体" w:eastAsia="宋体" w:cs="宋体"/>
          <w:sz w:val="28"/>
          <w:szCs w:val="28"/>
          <w:lang w:val="en-US" w:eastAsia="zh-CN"/>
        </w:rPr>
        <w:t>部门</w:t>
      </w:r>
      <w:r>
        <w:rPr>
          <w:rFonts w:hint="eastAsia" w:ascii="宋体" w:hAnsi="宋体" w:eastAsia="宋体" w:cs="宋体"/>
          <w:sz w:val="28"/>
          <w:szCs w:val="28"/>
        </w:rPr>
        <w:t>《医疗器械分类目录》的规定，在《医疗器械分类目录》内的产品必须</w:t>
      </w:r>
      <w:r>
        <w:rPr>
          <w:rFonts w:hint="eastAsia" w:ascii="宋体" w:hAnsi="宋体" w:eastAsia="宋体" w:cs="宋体"/>
          <w:sz w:val="28"/>
          <w:szCs w:val="28"/>
          <w:lang w:val="en-US" w:eastAsia="zh-CN"/>
        </w:rPr>
        <w:t>符合</w:t>
      </w:r>
      <w:r>
        <w:rPr>
          <w:rFonts w:hint="eastAsia" w:ascii="宋体" w:hAnsi="宋体" w:eastAsia="宋体" w:cs="宋体"/>
          <w:sz w:val="28"/>
          <w:szCs w:val="28"/>
        </w:rPr>
        <w:t>《医疗器械监督管理条例》的要求，</w:t>
      </w:r>
      <w:r>
        <w:rPr>
          <w:rFonts w:hint="eastAsia" w:ascii="宋体" w:hAnsi="宋体" w:eastAsia="宋体" w:cs="宋体"/>
          <w:sz w:val="28"/>
          <w:szCs w:val="28"/>
          <w:lang w:val="en-US" w:eastAsia="zh-CN"/>
        </w:rPr>
        <w:t>并提供真实的证明材料。如国家另有规定，则适用其规定。</w:t>
      </w:r>
      <w:r>
        <w:rPr>
          <w:rFonts w:hint="eastAsia" w:ascii="宋体" w:hAnsi="宋体" w:eastAsia="宋体" w:cs="宋体"/>
          <w:sz w:val="28"/>
          <w:szCs w:val="28"/>
        </w:rPr>
        <w:t>其他不在《医疗器械分类目录》内的不作强行要求，但需提供相关证明材料</w:t>
      </w:r>
      <w:r>
        <w:rPr>
          <w:rFonts w:hint="eastAsia" w:ascii="宋体" w:hAnsi="宋体" w:eastAsia="宋体" w:cs="宋体"/>
          <w:sz w:val="28"/>
          <w:szCs w:val="28"/>
          <w:lang w:val="en-US" w:eastAsia="zh-CN"/>
        </w:rPr>
        <w:t>或情况说明</w:t>
      </w:r>
      <w:r>
        <w:rPr>
          <w:rFonts w:hint="eastAsia" w:ascii="宋体" w:hAnsi="宋体" w:eastAsia="宋体" w:cs="宋体"/>
          <w:sz w:val="28"/>
          <w:szCs w:val="28"/>
        </w:rPr>
        <w:t>）。</w:t>
      </w: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注：</w:t>
      </w: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①所投产品为医疗器械的，请投标人按招标文件要求提供相关医疗器械的资质证明材料(若所投产品不属于医疗器械的，投标人请自行说明)。</w:t>
      </w: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技术部分：</w:t>
      </w:r>
    </w:p>
    <w:p>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4.1技术偏离表：</w:t>
      </w:r>
    </w:p>
    <w:tbl>
      <w:tblPr>
        <w:tblStyle w:val="7"/>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012"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名称</w:t>
            </w: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109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95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偏离情况</w:t>
            </w:r>
          </w:p>
        </w:tc>
        <w:tc>
          <w:tcPr>
            <w:tcW w:w="40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技术参数出现偏离的技术原因以及涉及产品对应技术参数的技术材料所在位置（</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文件页码，并请在产品技术材料中进行圈注）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4" w:hRule="atLeast"/>
        </w:trPr>
        <w:tc>
          <w:tcPr>
            <w:tcW w:w="720"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12"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237"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91"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954"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4037"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r>
    </w:tbl>
    <w:p>
      <w:pPr>
        <w:rPr>
          <w:rFonts w:hint="eastAsia"/>
          <w:lang w:val="en-US" w:eastAsia="zh-CN"/>
        </w:rPr>
      </w:pP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4.2产品技术资料，含产品彩页、产品说明书等。</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4.3产品质量保证及售后服务承诺。</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4.4供应商认为须提供的其他材料。</w:t>
      </w:r>
    </w:p>
    <w:p>
      <w:pPr>
        <w:bidi w:val="0"/>
        <w:rPr>
          <w:rFonts w:hint="eastAsia" w:ascii="Calibri" w:hAnsi="Calibri" w:eastAsia="宋体" w:cs="Times New Roman"/>
          <w:kern w:val="2"/>
          <w:sz w:val="21"/>
          <w:szCs w:val="22"/>
          <w:lang w:val="en-US" w:eastAsia="zh-CN" w:bidi="ar-SA"/>
        </w:rPr>
      </w:pPr>
    </w:p>
    <w:p>
      <w:pPr>
        <w:bidi w:val="0"/>
        <w:jc w:val="left"/>
        <w:rPr>
          <w:rFonts w:hint="eastAsia"/>
          <w:lang w:val="en-US" w:eastAsia="zh-CN"/>
        </w:rPr>
        <w:sectPr>
          <w:pgSz w:w="11906" w:h="16838"/>
          <w:pgMar w:top="1587" w:right="2098" w:bottom="1474" w:left="1928" w:header="851" w:footer="992" w:gutter="0"/>
          <w:lnNumType w:countBy="0" w:restart="continuous"/>
          <w:cols w:space="425" w:num="1"/>
          <w:docGrid w:type="lines" w:linePitch="312" w:charSpace="0"/>
        </w:sectPr>
      </w:pPr>
    </w:p>
    <w:p>
      <w:pPr>
        <w:bidi w:val="0"/>
        <w:ind w:left="0" w:leftChars="0" w:firstLine="0" w:firstLineChars="0"/>
        <w:rPr>
          <w:rFonts w:hint="default" w:asciiTheme="minorEastAsia" w:hAnsiTheme="minorEastAsia" w:eastAsiaTheme="minorEastAsia" w:cstheme="minorEastAsia"/>
          <w:sz w:val="28"/>
          <w:szCs w:val="28"/>
          <w:lang w:val="en-US" w:eastAsia="zh-CN"/>
        </w:rPr>
      </w:pPr>
      <w:r>
        <w:rPr>
          <w:rFonts w:hint="eastAsia" w:ascii="宋体" w:hAnsi="宋体" w:cs="宋体"/>
          <w:b/>
          <w:bCs/>
          <w:color w:val="auto"/>
          <w:sz w:val="28"/>
          <w:szCs w:val="28"/>
          <w:lang w:val="en-US" w:eastAsia="zh-CN"/>
        </w:rPr>
        <w:t>4</w:t>
      </w:r>
      <w:r>
        <w:rPr>
          <w:rFonts w:hint="eastAsia" w:ascii="宋体" w:hAnsi="宋体" w:eastAsia="宋体" w:cs="宋体"/>
          <w:b/>
          <w:bCs/>
          <w:color w:val="auto"/>
          <w:sz w:val="28"/>
          <w:szCs w:val="28"/>
          <w:lang w:val="en-US" w:eastAsia="zh-CN"/>
        </w:rPr>
        <w:t>.5</w:t>
      </w:r>
      <w:r>
        <w:rPr>
          <w:rFonts w:hint="eastAsia" w:ascii="宋体" w:hAnsi="宋体" w:eastAsia="宋体" w:cs="宋体"/>
          <w:b/>
          <w:bCs/>
          <w:color w:val="auto"/>
          <w:sz w:val="28"/>
          <w:szCs w:val="28"/>
        </w:rPr>
        <w:t>首轮报价表</w:t>
      </w:r>
      <w:r>
        <w:rPr>
          <w:rFonts w:hint="eastAsia" w:ascii="宋体" w:hAnsi="宋体" w:eastAsia="宋体" w:cs="宋体"/>
          <w:b/>
          <w:bCs/>
          <w:color w:val="auto"/>
          <w:sz w:val="28"/>
          <w:szCs w:val="28"/>
          <w:lang w:eastAsia="zh-CN"/>
        </w:rPr>
        <w:t>：</w:t>
      </w:r>
      <w:r>
        <w:rPr>
          <w:rFonts w:hint="eastAsia" w:ascii="宋体" w:hAnsi="宋体" w:eastAsia="宋体" w:cs="宋体"/>
          <w:b/>
          <w:bCs/>
          <w:color w:val="auto"/>
          <w:sz w:val="24"/>
          <w:szCs w:val="24"/>
          <w:lang w:val="en-US" w:eastAsia="zh-CN"/>
        </w:rPr>
        <w:t>供应商除1份放置于响应文件外另自行准备至少3份用于二次报价</w:t>
      </w:r>
      <w:r>
        <w:rPr>
          <w:rFonts w:hint="eastAsia" w:ascii="宋体" w:hAnsi="宋体" w:cs="宋体"/>
          <w:b/>
          <w:bCs/>
          <w:color w:val="auto"/>
          <w:sz w:val="24"/>
          <w:szCs w:val="24"/>
          <w:lang w:val="en-US" w:eastAsia="zh-CN"/>
        </w:rPr>
        <w:t>。</w:t>
      </w:r>
    </w:p>
    <w:p>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腾冲市</w:t>
      </w:r>
      <w:r>
        <w:rPr>
          <w:rFonts w:hint="eastAsia" w:asciiTheme="minorEastAsia" w:hAnsiTheme="minorEastAsia" w:eastAsiaTheme="minorEastAsia" w:cstheme="minorEastAsia"/>
          <w:sz w:val="28"/>
          <w:szCs w:val="28"/>
        </w:rPr>
        <w:t>人民医院</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color w:val="FF0000"/>
          <w:sz w:val="28"/>
          <w:szCs w:val="28"/>
          <w:u w:val="single"/>
          <w:lang w:eastAsia="zh-CN"/>
        </w:rPr>
        <w:t>标段：</w:t>
      </w:r>
      <w:r>
        <w:rPr>
          <w:rFonts w:hint="eastAsia" w:asciiTheme="minorEastAsia" w:hAnsiTheme="minorEastAsia" w:eastAsiaTheme="minorEastAsia" w:cstheme="minorEastAsia"/>
          <w:color w:val="FF0000"/>
          <w:sz w:val="28"/>
          <w:szCs w:val="28"/>
          <w:u w:val="single"/>
          <w:lang w:val="en-US" w:eastAsia="zh-CN"/>
        </w:rPr>
        <w:t>X</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sz w:val="28"/>
          <w:szCs w:val="28"/>
        </w:rPr>
        <w:t>设备报价表</w:t>
      </w:r>
    </w:p>
    <w:tbl>
      <w:tblPr>
        <w:tblStyle w:val="7"/>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259"/>
        <w:gridCol w:w="1518"/>
        <w:gridCol w:w="1314"/>
        <w:gridCol w:w="850"/>
        <w:gridCol w:w="355"/>
        <w:gridCol w:w="354"/>
        <w:gridCol w:w="1277"/>
        <w:gridCol w:w="22"/>
        <w:gridCol w:w="2103"/>
        <w:gridCol w:w="1134"/>
        <w:gridCol w:w="1558"/>
        <w:gridCol w:w="18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2543" w:type="dxa"/>
            <w:shd w:val="clear" w:color="auto" w:fill="95B3D7"/>
            <w:vAlign w:val="center"/>
          </w:tcPr>
          <w:p>
            <w:pPr>
              <w:jc w:val="center"/>
              <w:rPr>
                <w:rFonts w:hint="eastAsia" w:asciiTheme="minorEastAsia" w:hAnsiTheme="minorEastAsia" w:eastAsiaTheme="minorEastAsia" w:cstheme="minorEastAsia"/>
                <w:b/>
                <w:color w:val="7F7F7F"/>
                <w:sz w:val="22"/>
                <w:szCs w:val="22"/>
              </w:rPr>
            </w:pPr>
            <w:r>
              <w:rPr>
                <w:rFonts w:hint="eastAsia" w:asciiTheme="minorEastAsia" w:hAnsiTheme="minorEastAsia" w:eastAsiaTheme="minorEastAsia" w:cstheme="minorEastAsia"/>
                <w:b/>
                <w:sz w:val="22"/>
                <w:szCs w:val="22"/>
              </w:rPr>
              <w:t>公司名称（盖章）</w:t>
            </w:r>
          </w:p>
        </w:tc>
        <w:tc>
          <w:tcPr>
            <w:tcW w:w="3091"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836"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报名公司项目负责人</w:t>
            </w:r>
          </w:p>
        </w:tc>
        <w:tc>
          <w:tcPr>
            <w:tcW w:w="2125"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联系电话/电子邮箱</w:t>
            </w:r>
          </w:p>
        </w:tc>
        <w:tc>
          <w:tcPr>
            <w:tcW w:w="1893" w:type="dxa"/>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3" w:hRule="atLeast"/>
        </w:trPr>
        <w:tc>
          <w:tcPr>
            <w:tcW w:w="2543"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设备名称</w:t>
            </w:r>
          </w:p>
        </w:tc>
        <w:tc>
          <w:tcPr>
            <w:tcW w:w="3091"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836"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设备品牌</w:t>
            </w:r>
          </w:p>
        </w:tc>
        <w:tc>
          <w:tcPr>
            <w:tcW w:w="2125"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第一次报价（单价）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93" w:type="dxa"/>
          </w:tcPr>
          <w:p>
            <w:pPr>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trPr>
        <w:tc>
          <w:tcPr>
            <w:tcW w:w="2543"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注册证名称及注册证号</w:t>
            </w:r>
          </w:p>
        </w:tc>
        <w:tc>
          <w:tcPr>
            <w:tcW w:w="3091"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836"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设备型号</w:t>
            </w:r>
          </w:p>
        </w:tc>
        <w:tc>
          <w:tcPr>
            <w:tcW w:w="2125"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第二次报价（单价）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93" w:type="dxa"/>
            <w:vAlign w:val="bottom"/>
          </w:tcPr>
          <w:p>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元     </w:t>
            </w:r>
          </w:p>
          <w:p>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exact"/>
        </w:trPr>
        <w:tc>
          <w:tcPr>
            <w:tcW w:w="2543"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制造商</w:t>
            </w:r>
          </w:p>
        </w:tc>
        <w:tc>
          <w:tcPr>
            <w:tcW w:w="3091"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850" w:type="dxa"/>
            <w:shd w:val="clear" w:color="auto" w:fill="9CC2E5" w:themeFill="accent1" w:themeFillTint="99"/>
            <w:vAlign w:val="center"/>
          </w:tcPr>
          <w:p>
            <w:pPr>
              <w:spacing w:line="160" w:lineRule="atLeas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国产/进口</w:t>
            </w:r>
          </w:p>
        </w:tc>
        <w:tc>
          <w:tcPr>
            <w:tcW w:w="709"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1277" w:type="dxa"/>
            <w:shd w:val="clear" w:color="auto" w:fill="95B3D7"/>
            <w:vAlign w:val="center"/>
          </w:tcPr>
          <w:p>
            <w:pPr>
              <w:adjustRightInd w:val="0"/>
              <w:spacing w:before="100" w:beforeAutospacing="1" w:after="100" w:afterAutospacing="1" w:line="60" w:lineRule="atLeast"/>
              <w:contextualSpacing/>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产品投入市场时间</w:t>
            </w:r>
          </w:p>
        </w:tc>
        <w:tc>
          <w:tcPr>
            <w:tcW w:w="2125" w:type="dxa"/>
            <w:gridSpan w:val="2"/>
          </w:tcPr>
          <w:p>
            <w:pPr>
              <w:rPr>
                <w:rFonts w:hint="eastAsia" w:asciiTheme="minorEastAsia" w:hAnsiTheme="minorEastAsia" w:eastAsiaTheme="minorEastAsia" w:cstheme="minorEastAsia"/>
                <w:b/>
                <w:sz w:val="22"/>
                <w:szCs w:val="22"/>
              </w:rPr>
            </w:pPr>
          </w:p>
        </w:tc>
        <w:tc>
          <w:tcPr>
            <w:tcW w:w="2692" w:type="dxa"/>
            <w:gridSpan w:val="2"/>
            <w:shd w:val="clear" w:color="auto" w:fill="ADB9CA" w:themeFill="text2" w:themeFillTint="66"/>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使用年限</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（注册证或使用说明书为准）</w:t>
            </w:r>
          </w:p>
        </w:tc>
        <w:tc>
          <w:tcPr>
            <w:tcW w:w="1893" w:type="dxa"/>
          </w:tcPr>
          <w:p>
            <w:pPr>
              <w:jc w:val="center"/>
              <w:rPr>
                <w:rFonts w:hint="eastAsia" w:asciiTheme="minorEastAsia" w:hAnsiTheme="minorEastAsia" w:eastAsiaTheme="minorEastAsia" w:cs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trPr>
        <w:tc>
          <w:tcPr>
            <w:tcW w:w="2543" w:type="dxa"/>
            <w:shd w:val="clear" w:color="auto" w:fill="95B3D7"/>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是否含有专用耗材/试剂</w:t>
            </w:r>
          </w:p>
        </w:tc>
        <w:tc>
          <w:tcPr>
            <w:tcW w:w="1777" w:type="dxa"/>
            <w:gridSpan w:val="2"/>
            <w:shd w:val="clear" w:color="auto" w:fill="auto"/>
          </w:tcPr>
          <w:p>
            <w:pPr>
              <w:ind w:right="-107" w:rightChars="-51"/>
              <w:jc w:val="center"/>
              <w:rPr>
                <w:rFonts w:hint="eastAsia" w:asciiTheme="minorEastAsia" w:hAnsiTheme="minorEastAsia" w:eastAsiaTheme="minorEastAsia" w:cstheme="minorEastAsia"/>
                <w:b/>
                <w:sz w:val="22"/>
                <w:szCs w:val="22"/>
              </w:rPr>
            </w:pPr>
          </w:p>
        </w:tc>
        <w:tc>
          <w:tcPr>
            <w:tcW w:w="1314" w:type="dxa"/>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专用耗材/试剂报价</w:t>
            </w:r>
          </w:p>
        </w:tc>
        <w:tc>
          <w:tcPr>
            <w:tcW w:w="1205" w:type="dxa"/>
            <w:gridSpan w:val="2"/>
            <w:shd w:val="clear" w:color="auto" w:fill="ADB9CA" w:themeFill="text2" w:themeFillTint="66"/>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w:t>
            </w:r>
          </w:p>
        </w:tc>
        <w:tc>
          <w:tcPr>
            <w:tcW w:w="3756" w:type="dxa"/>
            <w:gridSpan w:val="4"/>
            <w:shd w:val="clear" w:color="auto" w:fill="auto"/>
          </w:tcPr>
          <w:p>
            <w:pPr>
              <w:tabs>
                <w:tab w:val="left" w:pos="1224"/>
              </w:tabs>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ab/>
            </w:r>
          </w:p>
        </w:tc>
        <w:tc>
          <w:tcPr>
            <w:tcW w:w="1134" w:type="dxa"/>
            <w:shd w:val="clear" w:color="auto" w:fill="ADB9CA" w:themeFill="text2" w:themeFillTint="66"/>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w:t>
            </w:r>
          </w:p>
        </w:tc>
        <w:tc>
          <w:tcPr>
            <w:tcW w:w="3451" w:type="dxa"/>
            <w:gridSpan w:val="2"/>
            <w:shd w:val="clear" w:color="auto" w:fill="auto"/>
            <w:vAlign w:val="bottom"/>
          </w:tcPr>
          <w:p>
            <w:pPr>
              <w:tabs>
                <w:tab w:val="left" w:pos="3238"/>
              </w:tabs>
              <w:ind w:firstLine="3092" w:firstLineChars="1400"/>
              <w:rPr>
                <w:rFonts w:hint="eastAsia" w:asciiTheme="minorEastAsia" w:hAnsiTheme="minorEastAsia" w:eastAsiaTheme="minorEastAsia" w:cstheme="minorEastAsia"/>
                <w:b/>
                <w:sz w:val="22"/>
                <w:szCs w:val="22"/>
              </w:rPr>
            </w:pPr>
          </w:p>
          <w:p>
            <w:pPr>
              <w:tabs>
                <w:tab w:val="left" w:pos="3238"/>
              </w:tabs>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8" w:hRule="atLeast"/>
        </w:trPr>
        <w:tc>
          <w:tcPr>
            <w:tcW w:w="2543"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此报价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设备情况</w:t>
            </w:r>
          </w:p>
        </w:tc>
        <w:tc>
          <w:tcPr>
            <w:tcW w:w="5949" w:type="dxa"/>
            <w:gridSpan w:val="8"/>
          </w:tcPr>
          <w:p>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1、性能：</w:t>
            </w:r>
          </w:p>
        </w:tc>
        <w:tc>
          <w:tcPr>
            <w:tcW w:w="6688" w:type="dxa"/>
            <w:gridSpan w:val="4"/>
          </w:tcPr>
          <w:p>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2、配置：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8" w:hRule="atLeast"/>
        </w:trPr>
        <w:tc>
          <w:tcPr>
            <w:tcW w:w="15180" w:type="dxa"/>
            <w:gridSpan w:val="13"/>
            <w:shd w:val="clear" w:color="auto" w:fill="FFFFFF" w:themeFill="background1"/>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2127885</wp:posOffset>
                      </wp:positionH>
                      <wp:positionV relativeFrom="paragraph">
                        <wp:posOffset>184785</wp:posOffset>
                      </wp:positionV>
                      <wp:extent cx="198755" cy="185420"/>
                      <wp:effectExtent l="4445" t="4445" r="6350" b="19685"/>
                      <wp:wrapNone/>
                      <wp:docPr id="2"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67.55pt;margin-top:14.55pt;height:14.6pt;width:15.65pt;z-index:251660288;mso-width-relative:page;mso-height-relative:page;" fillcolor="#FFFFFF" filled="t" stroked="t" coordsize="21600,21600" arcsize="0.166666666666667" o:gfxdata="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r6eem1gAA&#10;AAkBAAAPAAAAAAAAAAEAIAAAACIAAABkcnMvZG93bnJldi54bWxQSwECFAAUAAAACACHTuJAu+tY&#10;bSACAAAtBAAADgAAAAAAAAABACAAAAAlAQAAZHJzL2Uyb0RvYy54bWxQSwUGAAAAAAYABgBZAQAA&#10;twU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59264" behindDoc="0" locked="0" layoutInCell="1" allowOverlap="1">
                      <wp:simplePos x="0" y="0"/>
                      <wp:positionH relativeFrom="column">
                        <wp:posOffset>1703070</wp:posOffset>
                      </wp:positionH>
                      <wp:positionV relativeFrom="paragraph">
                        <wp:posOffset>185420</wp:posOffset>
                      </wp:positionV>
                      <wp:extent cx="198755" cy="185420"/>
                      <wp:effectExtent l="4445" t="4445" r="6350" b="19685"/>
                      <wp:wrapNone/>
                      <wp:docPr id="1"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34.1pt;margin-top:14.6pt;height:14.6pt;width:15.65pt;z-index:251659264;mso-width-relative:page;mso-height-relative:page;" fillcolor="#FFFFFF" filled="t" stroked="t" coordsize="21600,21600" arcsize="0.166666666666667" o:gfxdata="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ZU7Z/VAAAA&#10;CQEAAA8AAAAAAAAAAQAgAAAAIgAAAGRycy9kb3ducmV2LnhtbFBLAQIUABQAAAAIAIdO4kBTWXRp&#10;IAIAAC0EAAAOAAAAAAAAAAEAIAAAACQBAABkcnMvZTJvRG9jLnhtbFBLBQYAAAAABgAGAFkBAAC2&#10;BQ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w:t>服务承诺：        原厂质保:       供货期：接医院通知后</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日历天       维修响应时间：      维修到场时间：</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维修时是否提供备用机：是    否    ，</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日内提供             有</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名常驻</w:t>
            </w:r>
            <w:r>
              <w:rPr>
                <w:rFonts w:hint="eastAsia" w:asciiTheme="minorEastAsia" w:hAnsiTheme="minorEastAsia" w:eastAsiaTheme="minorEastAsia" w:cstheme="minorEastAsia"/>
                <w:b/>
                <w:sz w:val="22"/>
                <w:szCs w:val="22"/>
                <w:lang w:val="en-US" w:eastAsia="zh-CN"/>
              </w:rPr>
              <w:t>腾冲</w:t>
            </w:r>
            <w:r>
              <w:rPr>
                <w:rFonts w:hint="eastAsia" w:asciiTheme="minorEastAsia" w:hAnsiTheme="minorEastAsia" w:eastAsiaTheme="minorEastAsia" w:cstheme="minorEastAsia"/>
                <w:b/>
                <w:sz w:val="22"/>
                <w:szCs w:val="22"/>
              </w:rPr>
              <w:t>工程师，其中厂家工程师</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 xml:space="preserve">名   </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可提供的其他免费服务: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0" w:hRule="atLeast"/>
        </w:trPr>
        <w:tc>
          <w:tcPr>
            <w:tcW w:w="2802" w:type="dxa"/>
            <w:gridSpan w:val="2"/>
            <w:shd w:val="clear" w:color="auto" w:fill="ADB9CA" w:themeFill="text2" w:themeFillTint="66"/>
          </w:tcPr>
          <w:p>
            <w:pPr>
              <w:spacing w:line="520" w:lineRule="exac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同型号设备国内/省内</w:t>
            </w:r>
          </w:p>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sz w:val="22"/>
                <w:szCs w:val="22"/>
              </w:rPr>
              <w:t>三</w:t>
            </w:r>
            <w:r>
              <w:rPr>
                <w:rFonts w:hint="eastAsia" w:asciiTheme="minorEastAsia" w:hAnsiTheme="minorEastAsia" w:eastAsiaTheme="minorEastAsia" w:cstheme="minorEastAsia"/>
                <w:b/>
                <w:sz w:val="22"/>
                <w:szCs w:val="22"/>
                <w:lang w:val="en-US" w:eastAsia="zh-CN"/>
              </w:rPr>
              <w:t>级</w:t>
            </w:r>
            <w:r>
              <w:rPr>
                <w:rFonts w:hint="eastAsia" w:asciiTheme="minorEastAsia" w:hAnsiTheme="minorEastAsia" w:eastAsiaTheme="minorEastAsia" w:cstheme="minorEastAsia"/>
                <w:b/>
                <w:sz w:val="22"/>
                <w:szCs w:val="22"/>
              </w:rPr>
              <w:t>医院装机情况</w:t>
            </w:r>
          </w:p>
        </w:tc>
        <w:tc>
          <w:tcPr>
            <w:tcW w:w="12378" w:type="dxa"/>
            <w:gridSpan w:val="11"/>
          </w:tcPr>
          <w:p>
            <w:pPr>
              <w:rPr>
                <w:rFonts w:hint="eastAsia" w:asciiTheme="minorEastAsia" w:hAnsiTheme="minorEastAsia" w:eastAsiaTheme="minorEastAsia" w:cs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trPr>
        <w:tc>
          <w:tcPr>
            <w:tcW w:w="15180" w:type="dxa"/>
            <w:gridSpan w:val="13"/>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第二次服务承诺、质保、维修响应时间及其他情况补充说明：</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签名/盖章 ：</w:t>
            </w:r>
          </w:p>
        </w:tc>
      </w:tr>
    </w:tbl>
    <w:p>
      <w:pPr>
        <w:ind w:right="420"/>
        <w:rPr>
          <w:b/>
          <w:szCs w:val="21"/>
        </w:rPr>
      </w:pPr>
      <w:r>
        <w:rPr>
          <w:rFonts w:hint="eastAsia"/>
          <w:b/>
          <w:szCs w:val="21"/>
        </w:rPr>
        <w:t>注：严禁修改表格，除</w:t>
      </w:r>
      <w:r>
        <w:rPr>
          <w:b/>
          <w:szCs w:val="21"/>
        </w:rPr>
        <w:t>第二次报价及</w:t>
      </w:r>
      <w:r>
        <w:rPr>
          <w:rFonts w:hint="eastAsia"/>
          <w:b/>
          <w:szCs w:val="21"/>
        </w:rPr>
        <w:t>第二次服务</w:t>
      </w:r>
      <w:r>
        <w:rPr>
          <w:b/>
          <w:szCs w:val="21"/>
        </w:rPr>
        <w:t>承诺、质保、</w:t>
      </w:r>
      <w:r>
        <w:rPr>
          <w:rFonts w:hint="eastAsia"/>
          <w:b/>
          <w:szCs w:val="21"/>
        </w:rPr>
        <w:t>维修</w:t>
      </w:r>
      <w:r>
        <w:rPr>
          <w:b/>
          <w:szCs w:val="21"/>
        </w:rPr>
        <w:t>响应时间</w:t>
      </w:r>
      <w:r>
        <w:rPr>
          <w:rFonts w:hint="eastAsia"/>
          <w:b/>
          <w:szCs w:val="21"/>
        </w:rPr>
        <w:t>及</w:t>
      </w:r>
      <w:r>
        <w:rPr>
          <w:b/>
          <w:szCs w:val="21"/>
        </w:rPr>
        <w:t>其他情况</w:t>
      </w:r>
      <w:r>
        <w:rPr>
          <w:rFonts w:hint="eastAsia"/>
          <w:b/>
          <w:szCs w:val="21"/>
        </w:rPr>
        <w:t>补充</w:t>
      </w:r>
      <w:r>
        <w:rPr>
          <w:b/>
          <w:szCs w:val="21"/>
        </w:rPr>
        <w:t>说明外</w:t>
      </w:r>
      <w:r>
        <w:rPr>
          <w:rFonts w:hint="eastAsia"/>
          <w:b/>
          <w:szCs w:val="21"/>
        </w:rPr>
        <w:t xml:space="preserve">请按要求逐项填写。                                                                                          </w:t>
      </w:r>
    </w:p>
    <w:p>
      <w:pPr>
        <w:ind w:right="420" w:firstLine="10710" w:firstLineChars="5100"/>
        <w:rPr>
          <w:rFonts w:hint="eastAsia"/>
          <w:szCs w:val="21"/>
          <w:lang w:val="en-US" w:eastAsia="zh-CN"/>
        </w:rPr>
      </w:pPr>
      <w:r>
        <w:rPr>
          <w:rFonts w:hint="eastAsia"/>
          <w:szCs w:val="21"/>
          <w:lang w:val="en-US" w:eastAsia="zh-CN"/>
        </w:rPr>
        <w:t>腾冲市人民医院招标采购办公室制表</w:t>
      </w:r>
    </w:p>
    <w:p>
      <w:pPr>
        <w:pStyle w:val="5"/>
        <w:rPr>
          <w:rFonts w:hint="eastAsia"/>
          <w:szCs w:val="21"/>
          <w:lang w:val="en-US" w:eastAsia="zh-CN"/>
        </w:rPr>
      </w:pPr>
    </w:p>
    <w:p>
      <w:pPr>
        <w:rPr>
          <w:rFonts w:hint="eastAsia"/>
          <w:szCs w:val="21"/>
          <w:lang w:val="en-US" w:eastAsia="zh-CN"/>
        </w:rPr>
      </w:pPr>
    </w:p>
    <w:p>
      <w:pPr>
        <w:pStyle w:val="5"/>
        <w:rPr>
          <w:rFonts w:hint="eastAsia"/>
          <w:szCs w:val="21"/>
          <w:lang w:val="en-US" w:eastAsia="zh-CN"/>
        </w:rPr>
        <w:sectPr>
          <w:pgSz w:w="16838" w:h="11906" w:orient="landscape"/>
          <w:pgMar w:top="397" w:right="1134" w:bottom="420" w:left="1134" w:header="851" w:footer="992" w:gutter="0"/>
          <w:cols w:space="425" w:num="1"/>
          <w:docGrid w:type="lines" w:linePitch="312" w:charSpace="0"/>
        </w:sectPr>
      </w:pPr>
    </w:p>
    <w:p>
      <w:pPr>
        <w:rPr>
          <w:rFonts w:hint="default"/>
          <w:lang w:val="en-US" w:eastAsia="zh-CN"/>
        </w:rPr>
      </w:pPr>
    </w:p>
    <w:p>
      <w:pPr>
        <w:numPr>
          <w:ilvl w:val="0"/>
          <w:numId w:val="0"/>
        </w:numPr>
        <w:bidi w:val="0"/>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5</w:t>
      </w:r>
      <w:r>
        <w:rPr>
          <w:rFonts w:hint="eastAsia" w:ascii="宋体" w:hAnsi="宋体" w:eastAsia="宋体" w:cs="宋体"/>
          <w:b/>
          <w:bCs/>
          <w:sz w:val="28"/>
          <w:szCs w:val="28"/>
          <w:lang w:val="en-US" w:eastAsia="zh-CN"/>
        </w:rPr>
        <w:t>.《中小企业声明函》或《残疾人福利性单位声明函》或《监狱企业声明函》（如有）。</w:t>
      </w:r>
    </w:p>
    <w:p>
      <w:pPr>
        <w:jc w:val="center"/>
        <w:rPr>
          <w:rFonts w:hint="eastAsia" w:ascii="宋体" w:hAnsi="宋体" w:eastAsia="宋体" w:cs="宋体"/>
          <w:b/>
          <w:color w:val="auto"/>
          <w:sz w:val="30"/>
          <w:szCs w:val="30"/>
        </w:rPr>
      </w:pPr>
      <w:bookmarkStart w:id="1" w:name="_Toc7334"/>
      <w:bookmarkStart w:id="2" w:name="_Toc12278"/>
      <w:bookmarkStart w:id="3" w:name="_Toc9923"/>
      <w:r>
        <w:rPr>
          <w:rFonts w:hint="eastAsia" w:ascii="宋体" w:hAnsi="宋体" w:eastAsia="宋体" w:cs="宋体"/>
          <w:b/>
          <w:color w:val="auto"/>
          <w:sz w:val="24"/>
          <w:szCs w:val="24"/>
        </w:rPr>
        <w:t>中小企业声明函</w:t>
      </w:r>
      <w:r>
        <w:rPr>
          <w:rFonts w:hint="eastAsia" w:ascii="宋体" w:hAnsi="宋体" w:eastAsia="宋体" w:cs="宋体"/>
          <w:b/>
          <w:color w:val="auto"/>
          <w:sz w:val="30"/>
          <w:szCs w:val="30"/>
        </w:rPr>
        <w:t>（如有）</w:t>
      </w:r>
      <w:bookmarkEnd w:id="1"/>
      <w:bookmarkEnd w:id="2"/>
      <w:bookmarkEnd w:id="3"/>
    </w:p>
    <w:p>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本公司郑重声明， 根据《政府采购促进中小企业发展管理办法》（财库 （2020） 46 号）的规定， 本公司参加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采购活动，提供的货物全部由符合政策要求的中小企业制造。相关企业的具体情况如下：</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w:t>
      </w:r>
      <w:r>
        <w:rPr>
          <w:rFonts w:hint="eastAsia" w:ascii="宋体" w:hAnsi="宋体" w:cs="宋体"/>
          <w:color w:val="auto"/>
          <w:sz w:val="24"/>
          <w:szCs w:val="24"/>
          <w:u w:val="single"/>
          <w:lang w:val="en-US" w:eastAsia="zh-CN"/>
        </w:rPr>
        <w:t>项目</w:t>
      </w:r>
      <w:r>
        <w:rPr>
          <w:rFonts w:hint="eastAsia" w:ascii="宋体" w:hAnsi="宋体" w:eastAsia="宋体" w:cs="宋体"/>
          <w:color w:val="auto"/>
          <w:sz w:val="24"/>
          <w:szCs w:val="24"/>
          <w:u w:val="single"/>
        </w:rPr>
        <w:t>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采购文件中明确的所属行业）行业</w:t>
      </w:r>
      <w:r>
        <w:rPr>
          <w:rFonts w:hint="eastAsia" w:ascii="宋体" w:hAnsi="宋体" w:eastAsia="宋体" w:cs="宋体"/>
          <w:color w:val="auto"/>
          <w:sz w:val="24"/>
          <w:szCs w:val="24"/>
        </w:rPr>
        <w:t>；制造商为</w:t>
      </w:r>
      <w:r>
        <w:rPr>
          <w:rFonts w:hint="eastAsia" w:ascii="宋体" w:hAnsi="宋体" w:eastAsia="宋体" w:cs="宋体"/>
          <w:color w:val="auto"/>
          <w:sz w:val="24"/>
          <w:szCs w:val="24"/>
          <w:u w:val="single"/>
        </w:rPr>
        <w:t xml:space="preserve"> （企业名称）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 营业收入为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w:t>
      </w:r>
      <w:r>
        <w:rPr>
          <w:rFonts w:hint="eastAsia" w:ascii="宋体" w:hAnsi="宋体" w:eastAsia="宋体" w:cs="宋体"/>
          <w:color w:val="auto"/>
          <w:sz w:val="24"/>
          <w:szCs w:val="24"/>
          <w:vertAlign w:val="superscript"/>
        </w:rPr>
        <w:t>1</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（中型企业、 小型企业、 微型企业</w:t>
      </w:r>
      <w:r>
        <w:rPr>
          <w:rFonts w:hint="eastAsia" w:ascii="宋体" w:hAnsi="宋体" w:eastAsia="宋体" w:cs="宋体"/>
          <w:color w:val="auto"/>
          <w:sz w:val="24"/>
          <w:szCs w:val="24"/>
        </w:rPr>
        <w:t>）</w:t>
      </w:r>
    </w:p>
    <w:p>
      <w:pPr>
        <w:pStyle w:val="1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w:t>
      </w:r>
    </w:p>
    <w:p>
      <w:pPr>
        <w:pStyle w:val="1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以上企业，不属于大型企业的分支机构，不存在控股股东为大企业的情形，也不存在与大企业的负责任人为同一人的情形。</w:t>
      </w:r>
    </w:p>
    <w:p>
      <w:pPr>
        <w:pStyle w:val="1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本企业对上述声明内容的真实性负责，如有虚假，将依法承担相应责任。</w:t>
      </w:r>
    </w:p>
    <w:p>
      <w:pPr>
        <w:pStyle w:val="11"/>
        <w:adjustRightInd w:val="0"/>
        <w:snapToGrid w:val="0"/>
        <w:spacing w:line="360" w:lineRule="auto"/>
        <w:rPr>
          <w:rFonts w:hint="eastAsia" w:ascii="宋体" w:hAnsi="宋体" w:eastAsia="宋体" w:cs="宋体"/>
          <w:color w:val="auto"/>
          <w:sz w:val="24"/>
          <w:szCs w:val="24"/>
        </w:rPr>
      </w:pPr>
    </w:p>
    <w:p>
      <w:pPr>
        <w:pStyle w:val="11"/>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pStyle w:val="11"/>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pStyle w:val="11"/>
        <w:adjustRightInd w:val="0"/>
        <w:snapToGrid w:val="0"/>
        <w:spacing w:line="360" w:lineRule="auto"/>
        <w:rPr>
          <w:rFonts w:hint="eastAsia" w:ascii="宋体" w:hAnsi="宋体" w:eastAsia="宋体" w:cs="宋体"/>
          <w:b/>
          <w:bCs/>
          <w:color w:val="auto"/>
          <w:sz w:val="24"/>
          <w:szCs w:val="24"/>
        </w:rPr>
      </w:pPr>
      <w:r>
        <w:rPr>
          <w:rFonts w:hint="eastAsia" w:ascii="宋体" w:hAnsi="宋体" w:eastAsia="宋体" w:cs="宋体"/>
          <w:color w:val="auto"/>
          <w:sz w:val="24"/>
          <w:szCs w:val="24"/>
        </w:rPr>
        <w:t>日期：   年   月   日</w:t>
      </w:r>
    </w:p>
    <w:p>
      <w:pPr>
        <w:pStyle w:val="5"/>
        <w:numPr>
          <w:ilvl w:val="0"/>
          <w:numId w:val="1"/>
        </w:numPr>
        <w:rPr>
          <w:rFonts w:hint="eastAsia" w:ascii="宋体" w:hAnsi="宋体" w:eastAsia="宋体" w:cs="宋体"/>
          <w:color w:val="auto"/>
          <w:sz w:val="24"/>
          <w:szCs w:val="24"/>
        </w:rPr>
      </w:pPr>
      <w:r>
        <w:rPr>
          <w:rFonts w:hint="eastAsia" w:ascii="宋体" w:hAnsi="宋体" w:eastAsia="宋体" w:cs="宋体"/>
          <w:color w:val="auto"/>
          <w:sz w:val="24"/>
          <w:szCs w:val="24"/>
        </w:rPr>
        <w:t>从业人员、营业收入、资产总额填报上一年度数据，无上一年度数据的新成立企业可不填报。</w:t>
      </w:r>
    </w:p>
    <w:p>
      <w:pPr>
        <w:pStyle w:val="12"/>
        <w:ind w:firstLine="0" w:firstLineChars="0"/>
        <w:jc w:val="center"/>
        <w:rPr>
          <w:rFonts w:hint="eastAsia" w:ascii="宋体" w:hAnsi="宋体" w:eastAsia="宋体" w:cs="宋体"/>
          <w:b/>
          <w:color w:val="auto"/>
          <w:sz w:val="30"/>
          <w:szCs w:val="30"/>
        </w:rPr>
      </w:pPr>
      <w:r>
        <w:rPr>
          <w:rFonts w:hint="eastAsia" w:ascii="宋体" w:hAnsi="宋体" w:eastAsia="宋体" w:cs="宋体"/>
          <w:color w:val="auto"/>
          <w:sz w:val="24"/>
          <w:szCs w:val="24"/>
          <w:u w:val="single"/>
        </w:rPr>
        <w:br w:type="page"/>
      </w:r>
      <w:bookmarkStart w:id="4" w:name="_Toc27763"/>
      <w:bookmarkStart w:id="5" w:name="_Toc12194"/>
      <w:bookmarkStart w:id="6" w:name="_Toc26663"/>
      <w:bookmarkStart w:id="7" w:name="_Toc8849"/>
      <w:bookmarkStart w:id="8" w:name="_Toc6320"/>
      <w:bookmarkStart w:id="9" w:name="_Toc25914"/>
      <w:r>
        <w:rPr>
          <w:rFonts w:hint="eastAsia" w:ascii="宋体" w:hAnsi="宋体" w:eastAsia="宋体" w:cs="宋体"/>
          <w:b/>
          <w:color w:val="auto"/>
          <w:sz w:val="24"/>
          <w:szCs w:val="24"/>
        </w:rPr>
        <w:t>残疾人福利性单位声明函</w:t>
      </w:r>
      <w:r>
        <w:rPr>
          <w:rFonts w:hint="eastAsia" w:ascii="宋体" w:hAnsi="宋体" w:eastAsia="宋体" w:cs="宋体"/>
          <w:b/>
          <w:color w:val="auto"/>
          <w:sz w:val="30"/>
          <w:szCs w:val="30"/>
        </w:rPr>
        <w:t>（如有）</w:t>
      </w:r>
      <w:bookmarkEnd w:id="4"/>
      <w:bookmarkEnd w:id="5"/>
      <w:bookmarkEnd w:id="6"/>
      <w:bookmarkEnd w:id="7"/>
      <w:bookmarkEnd w:id="8"/>
      <w:bookmarkEnd w:id="9"/>
    </w:p>
    <w:p>
      <w:pPr>
        <w:pStyle w:val="10"/>
        <w:widowControl/>
        <w:ind w:firstLine="0"/>
        <w:rPr>
          <w:rFonts w:hint="eastAsia" w:ascii="宋体" w:hAnsi="宋体" w:eastAsia="宋体" w:cs="宋体"/>
          <w:color w:val="auto"/>
          <w:sz w:val="24"/>
          <w:szCs w:val="24"/>
        </w:rPr>
      </w:pPr>
    </w:p>
    <w:p>
      <w:pPr>
        <w:adjustRightInd w:val="0"/>
        <w:snapToGrid w:val="0"/>
        <w:spacing w:line="360" w:lineRule="auto"/>
        <w:ind w:firstLine="548" w:firstLineChars="200"/>
        <w:jc w:val="left"/>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pPr>
        <w:adjustRightInd w:val="0"/>
        <w:snapToGrid w:val="0"/>
        <w:spacing w:line="360" w:lineRule="auto"/>
        <w:ind w:firstLine="548" w:firstLineChars="200"/>
        <w:jc w:val="left"/>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pPr>
        <w:spacing w:before="993" w:beforeLines="300"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adjustRightInd w:val="0"/>
        <w:snapToGrid w:val="0"/>
        <w:spacing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adjustRightInd w:val="0"/>
        <w:snapToGrid w:val="0"/>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pPr>
        <w:pStyle w:val="10"/>
        <w:widowControl/>
        <w:ind w:firstLine="0"/>
        <w:rPr>
          <w:rFonts w:hint="eastAsia" w:ascii="宋体" w:hAnsi="宋体" w:eastAsia="宋体" w:cs="宋体"/>
          <w:color w:val="auto"/>
          <w:sz w:val="24"/>
          <w:szCs w:val="24"/>
        </w:rPr>
      </w:pPr>
    </w:p>
    <w:p>
      <w:pPr>
        <w:pStyle w:val="5"/>
        <w:numPr>
          <w:ilvl w:val="0"/>
          <w:numId w:val="0"/>
        </w:numPr>
        <w:jc w:val="both"/>
        <w:rPr>
          <w:rFonts w:hint="eastAsia"/>
          <w:lang w:val="en-US" w:eastAsia="zh-CN"/>
        </w:rPr>
      </w:pPr>
    </w:p>
    <w:p>
      <w:pPr>
        <w:pStyle w:val="5"/>
        <w:ind w:left="0" w:leftChars="0" w:firstLine="0" w:firstLineChars="0"/>
        <w:jc w:val="both"/>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spacing w:line="360" w:lineRule="auto"/>
        <w:jc w:val="center"/>
        <w:rPr>
          <w:rFonts w:hint="eastAsia" w:ascii="宋体" w:hAnsi="宋体" w:eastAsia="宋体" w:cs="宋体"/>
          <w:b/>
          <w:color w:val="auto"/>
          <w:sz w:val="24"/>
          <w:szCs w:val="24"/>
        </w:rPr>
      </w:pPr>
      <w:bookmarkStart w:id="10" w:name="_Toc26397"/>
      <w:bookmarkStart w:id="11" w:name="_Toc8907"/>
      <w:bookmarkStart w:id="12" w:name="_Toc24071"/>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30"/>
          <w:szCs w:val="30"/>
        </w:rPr>
      </w:pPr>
      <w:r>
        <w:rPr>
          <w:rFonts w:hint="eastAsia" w:ascii="宋体" w:hAnsi="宋体" w:eastAsia="宋体" w:cs="宋体"/>
          <w:b/>
          <w:color w:val="auto"/>
          <w:sz w:val="24"/>
          <w:szCs w:val="24"/>
        </w:rPr>
        <w:t>监狱企业的证明文件</w:t>
      </w:r>
      <w:r>
        <w:rPr>
          <w:rFonts w:hint="eastAsia" w:ascii="宋体" w:hAnsi="宋体" w:eastAsia="宋体" w:cs="宋体"/>
          <w:b/>
          <w:color w:val="auto"/>
          <w:sz w:val="30"/>
          <w:szCs w:val="30"/>
        </w:rPr>
        <w:t>（如有）</w:t>
      </w:r>
      <w:bookmarkEnd w:id="10"/>
      <w:bookmarkEnd w:id="11"/>
      <w:bookmarkEnd w:id="12"/>
    </w:p>
    <w:p>
      <w:pPr>
        <w:pStyle w:val="12"/>
        <w:spacing w:line="360" w:lineRule="auto"/>
        <w:ind w:firstLine="548" w:firstLineChars="200"/>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pPr>
        <w:pStyle w:val="12"/>
        <w:ind w:firstLine="0" w:firstLineChars="0"/>
        <w:rPr>
          <w:rFonts w:hint="eastAsia" w:ascii="宋体" w:hAnsi="宋体" w:eastAsia="宋体" w:cs="宋体"/>
          <w:color w:val="auto"/>
          <w:sz w:val="24"/>
          <w:szCs w:val="24"/>
        </w:rPr>
      </w:pPr>
    </w:p>
    <w:p>
      <w:pPr>
        <w:pStyle w:val="11"/>
        <w:adjustRightInd w:val="0"/>
        <w:snapToGrid w:val="0"/>
        <w:spacing w:line="360" w:lineRule="auto"/>
        <w:rPr>
          <w:rFonts w:hint="eastAsia" w:ascii="宋体" w:hAnsi="宋体" w:eastAsia="宋体" w:cs="宋体"/>
          <w:color w:val="auto"/>
          <w:sz w:val="24"/>
          <w:szCs w:val="24"/>
        </w:rPr>
      </w:pPr>
    </w:p>
    <w:p>
      <w:pPr>
        <w:pStyle w:val="11"/>
        <w:adjustRightInd w:val="0"/>
        <w:snapToGrid w:val="0"/>
        <w:spacing w:line="360" w:lineRule="auto"/>
        <w:rPr>
          <w:rFonts w:hint="eastAsia" w:ascii="宋体" w:hAnsi="宋体" w:eastAsia="宋体" w:cs="宋体"/>
          <w:color w:val="auto"/>
          <w:sz w:val="24"/>
          <w:szCs w:val="24"/>
        </w:rPr>
      </w:pPr>
    </w:p>
    <w:p>
      <w:pPr>
        <w:pStyle w:val="11"/>
        <w:adjustRightInd w:val="0"/>
        <w:snapToGrid w:val="0"/>
        <w:spacing w:line="360" w:lineRule="auto"/>
        <w:rPr>
          <w:rFonts w:hint="eastAsia" w:ascii="宋体" w:hAnsi="宋体" w:eastAsia="宋体" w:cs="宋体"/>
          <w:color w:val="auto"/>
          <w:sz w:val="24"/>
          <w:szCs w:val="24"/>
        </w:rPr>
      </w:pPr>
    </w:p>
    <w:p>
      <w:pPr>
        <w:pStyle w:val="11"/>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pStyle w:val="11"/>
        <w:adjustRightInd w:val="0"/>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pStyle w:val="11"/>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numPr>
          <w:ilvl w:val="0"/>
          <w:numId w:val="0"/>
        </w:numPr>
        <w:bidi w:val="0"/>
        <w:rPr>
          <w:rFonts w:hint="eastAsia"/>
          <w:b/>
          <w:bCs/>
          <w:lang w:val="en-US" w:eastAsia="zh-CN"/>
        </w:rPr>
      </w:pPr>
      <w:r>
        <w:rPr>
          <w:rFonts w:hint="eastAsia" w:ascii="宋体" w:hAnsi="宋体" w:cs="宋体"/>
          <w:b/>
          <w:bCs/>
          <w:sz w:val="28"/>
          <w:szCs w:val="28"/>
          <w:lang w:val="en-US" w:eastAsia="zh-CN"/>
        </w:rPr>
        <w:t>6</w:t>
      </w:r>
      <w:r>
        <w:rPr>
          <w:rFonts w:hint="eastAsia" w:ascii="宋体" w:hAnsi="宋体" w:eastAsia="宋体" w:cs="宋体"/>
          <w:b/>
          <w:bCs/>
          <w:sz w:val="28"/>
          <w:szCs w:val="28"/>
          <w:lang w:val="en-US" w:eastAsia="zh-CN"/>
        </w:rPr>
        <w:t>.无串通行为的承诺函</w:t>
      </w:r>
    </w:p>
    <w:p>
      <w:pPr>
        <w:pStyle w:val="4"/>
        <w:bidi w:val="0"/>
        <w:ind w:firstLine="3840" w:firstLineChars="1200"/>
        <w:rPr>
          <w:rFonts w:hint="default" w:ascii="Times New Roman" w:hAnsi="Times New Roman" w:eastAsia="黑体" w:cs="Times New Roman"/>
          <w:b w:val="0"/>
          <w:bCs w:val="0"/>
          <w:color w:val="auto"/>
          <w:kern w:val="0"/>
          <w:szCs w:val="32"/>
          <w:highlight w:val="none"/>
        </w:rPr>
      </w:pPr>
      <w:r>
        <w:rPr>
          <w:rFonts w:hint="default" w:ascii="Times New Roman" w:hAnsi="Times New Roman" w:cs="Times New Roman"/>
        </w:rPr>
        <w:t>承诺函</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腾冲市人民医院：</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我公司</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投标人名称</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参加</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eastAsia="zh-CN"/>
        </w:rPr>
        <w:t>项目名称、标段号</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的投标活动，我公司承诺不存在以下情形：</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（一）投标人直接或者间接从采购人或者采购代理机构处获得其他投标人的相关情况并修改其投标文件或者响应文件；</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（二）投标人按照采购人或者采购代理机构的授意撤换</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修改投标文件或者响应文件；</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（三）投标人之间协商报价</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技术方案等投标文件或者响应文件的实质性内容；</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（四）属于同一集团</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协会</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商会等组织成员的投标人按照该组织要求协同参加政府采购活动；</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（五）投标人之间事先约定由某一特定投标人</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（六）投标人之间商定部分投标人放弃参加政府采购活动或者放弃</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（七）投标人与采购人或者采购代理机构之间</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投标人相互之间，为谋求特定投标人</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或者排斥其他投标人的其他串通行为。</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八</w:t>
      </w:r>
      <w:r>
        <w:rPr>
          <w:rFonts w:hint="eastAsia" w:asciiTheme="minorEastAsia" w:hAnsiTheme="minorEastAsia" w:eastAsiaTheme="minorEastAsia" w:cstheme="minorEastAsia"/>
          <w:sz w:val="28"/>
          <w:szCs w:val="28"/>
        </w:rPr>
        <w:t>）不同投标人的投标文件由同一单位或者个人编制；</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九</w:t>
      </w:r>
      <w:r>
        <w:rPr>
          <w:rFonts w:hint="eastAsia" w:asciiTheme="minorEastAsia" w:hAnsiTheme="minorEastAsia" w:eastAsiaTheme="minorEastAsia" w:cstheme="minorEastAsia"/>
          <w:sz w:val="28"/>
          <w:szCs w:val="28"/>
        </w:rPr>
        <w:t>）不同投标人委托同一单位或者个人办理投标事宜；</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w:t>
      </w:r>
      <w:r>
        <w:rPr>
          <w:rFonts w:hint="eastAsia" w:asciiTheme="minorEastAsia" w:hAnsiTheme="minorEastAsia" w:eastAsiaTheme="minorEastAsia" w:cstheme="minorEastAsia"/>
          <w:sz w:val="28"/>
          <w:szCs w:val="28"/>
        </w:rPr>
        <w:t>）不同投标人的投标文件载明的项目管理成员或者联系人员为同一人；</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十一</w:t>
      </w:r>
      <w:r>
        <w:rPr>
          <w:rFonts w:hint="eastAsia" w:asciiTheme="minorEastAsia" w:hAnsiTheme="minorEastAsia" w:eastAsiaTheme="minorEastAsia" w:cstheme="minorEastAsia"/>
          <w:sz w:val="28"/>
          <w:szCs w:val="28"/>
        </w:rPr>
        <w:t>）不同投标人的投标文件异常一致或者投标报价呈规律性差异；</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十二</w:t>
      </w:r>
      <w:r>
        <w:rPr>
          <w:rFonts w:hint="eastAsia" w:asciiTheme="minorEastAsia" w:hAnsiTheme="minorEastAsia" w:eastAsiaTheme="minorEastAsia" w:cstheme="minorEastAsia"/>
          <w:sz w:val="28"/>
          <w:szCs w:val="28"/>
        </w:rPr>
        <w:t>）不同投标人的投标文件相互混装；</w:t>
      </w:r>
    </w:p>
    <w:p>
      <w:pPr>
        <w:bidi w:val="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若我公司</w:t>
      </w:r>
      <w:r>
        <w:rPr>
          <w:rFonts w:hint="eastAsia" w:asciiTheme="minorEastAsia" w:hAnsiTheme="minorEastAsia" w:eastAsiaTheme="minorEastAsia" w:cstheme="minorEastAsia"/>
          <w:b/>
          <w:bCs/>
          <w:sz w:val="28"/>
          <w:szCs w:val="28"/>
        </w:rPr>
        <w:t>存在上</w:t>
      </w:r>
      <w:r>
        <w:rPr>
          <w:rFonts w:hint="eastAsia" w:asciiTheme="minorEastAsia" w:hAnsiTheme="minorEastAsia" w:eastAsiaTheme="minorEastAsia" w:cstheme="minorEastAsia"/>
          <w:b/>
          <w:bCs/>
          <w:sz w:val="28"/>
          <w:szCs w:val="28"/>
          <w:lang w:val="en-US" w:eastAsia="zh-CN"/>
        </w:rPr>
        <w:t>述情形，按无效响应文件处理；贵单位有权</w:t>
      </w:r>
      <w:r>
        <w:rPr>
          <w:rFonts w:hint="eastAsia" w:asciiTheme="minorEastAsia" w:hAnsiTheme="minorEastAsia" w:eastAsiaTheme="minorEastAsia" w:cstheme="minorEastAsia"/>
          <w:b/>
          <w:bCs/>
          <w:sz w:val="28"/>
          <w:szCs w:val="28"/>
        </w:rPr>
        <w:t>依照政府采购法</w:t>
      </w:r>
      <w:r>
        <w:rPr>
          <w:rFonts w:hint="eastAsia" w:asciiTheme="minorEastAsia" w:hAnsiTheme="minorEastAsia" w:eastAsiaTheme="minorEastAsia" w:cstheme="minorEastAsia"/>
          <w:b/>
          <w:bCs/>
          <w:sz w:val="28"/>
          <w:szCs w:val="28"/>
          <w:lang w:val="en-US" w:eastAsia="zh-CN"/>
        </w:rPr>
        <w:t>及相关法律法规追究我公司</w:t>
      </w:r>
      <w:r>
        <w:rPr>
          <w:rFonts w:hint="eastAsia" w:asciiTheme="minorEastAsia" w:hAnsiTheme="minorEastAsia" w:eastAsiaTheme="minorEastAsia" w:cstheme="minorEastAsia"/>
          <w:b/>
          <w:bCs/>
          <w:sz w:val="28"/>
          <w:szCs w:val="28"/>
        </w:rPr>
        <w:t>法律责任，</w:t>
      </w:r>
      <w:r>
        <w:rPr>
          <w:rFonts w:hint="eastAsia" w:asciiTheme="minorEastAsia" w:hAnsiTheme="minorEastAsia" w:eastAsiaTheme="minorEastAsia" w:cstheme="minorEastAsia"/>
          <w:b/>
          <w:bCs/>
          <w:sz w:val="28"/>
          <w:szCs w:val="28"/>
          <w:lang w:val="en-US" w:eastAsia="zh-CN"/>
        </w:rPr>
        <w:t>由此造成的经济损失由我公司承担。</w:t>
      </w:r>
    </w:p>
    <w:p>
      <w:pPr>
        <w:pStyle w:val="5"/>
        <w:ind w:left="0" w:leftChars="0" w:firstLine="0" w:firstLineChars="0"/>
        <w:jc w:val="both"/>
        <w:rPr>
          <w:rFonts w:hint="eastAsia" w:ascii="宋体" w:hAnsi="宋体" w:eastAsia="宋体" w:cs="宋体"/>
          <w:sz w:val="24"/>
          <w:szCs w:val="24"/>
          <w:lang w:val="en-US" w:eastAsia="zh-CN"/>
        </w:rPr>
      </w:pPr>
    </w:p>
    <w:p>
      <w:pPr>
        <w:rPr>
          <w:rFonts w:hint="eastAsia"/>
          <w:lang w:val="en-US" w:eastAsia="zh-CN"/>
        </w:rPr>
      </w:pPr>
    </w:p>
    <w:p>
      <w:pPr>
        <w:pStyle w:val="5"/>
        <w:rPr>
          <w:rFonts w:hint="default"/>
          <w:lang w:val="en-US" w:eastAsia="zh-CN"/>
        </w:rPr>
      </w:pPr>
    </w:p>
    <w:p>
      <w:pPr>
        <w:rPr>
          <w:rFonts w:hint="default"/>
          <w:lang w:val="en-US" w:eastAsia="zh-CN"/>
        </w:rPr>
      </w:pPr>
    </w:p>
    <w:p>
      <w:pPr>
        <w:pStyle w:val="5"/>
        <w:rPr>
          <w:rFonts w:hint="default"/>
          <w:lang w:val="en-US" w:eastAsia="zh-CN"/>
        </w:rPr>
      </w:pPr>
    </w:p>
    <w:p>
      <w:pPr>
        <w:rPr>
          <w:rFonts w:hint="default"/>
          <w:lang w:val="en-US" w:eastAsia="zh-CN"/>
        </w:rPr>
      </w:pPr>
    </w:p>
    <w:p>
      <w:pPr>
        <w:rPr>
          <w:rFonts w:hint="default"/>
          <w:lang w:val="en-US" w:eastAsia="zh-CN"/>
        </w:rPr>
      </w:pPr>
    </w:p>
    <w:p/>
    <w:sectPr>
      <w:pgSz w:w="11906" w:h="16838"/>
      <w:pgMar w:top="1440" w:right="1800" w:bottom="1440" w:left="1800"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77FF111"/>
    <w:multiLevelType w:val="singleLevel"/>
    <w:tmpl w:val="A77FF11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711144"/>
    <w:rsid w:val="48711144"/>
    <w:rsid w:val="48DD6EFD"/>
    <w:rsid w:val="6B8F6694"/>
    <w:rsid w:val="7C820D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9">
    <w:name w:val="Default Paragraph Font"/>
    <w:semiHidden/>
    <w:qFormat/>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2">
    <w:name w:val="Body Text"/>
    <w:basedOn w:val="1"/>
    <w:next w:val="3"/>
    <w:qFormat/>
    <w:uiPriority w:val="0"/>
    <w:rPr>
      <w:sz w:val="44"/>
    </w:rPr>
  </w:style>
  <w:style w:type="paragraph" w:styleId="3">
    <w:name w:val="Date"/>
    <w:basedOn w:val="1"/>
    <w:next w:val="1"/>
    <w:qFormat/>
    <w:uiPriority w:val="0"/>
    <w:pPr>
      <w:ind w:left="100" w:leftChars="2500"/>
    </w:pPr>
  </w:style>
  <w:style w:type="paragraph" w:styleId="6">
    <w:name w:val="footer"/>
    <w:basedOn w:val="1"/>
    <w:uiPriority w:val="0"/>
    <w:pPr>
      <w:tabs>
        <w:tab w:val="center" w:pos="4153"/>
        <w:tab w:val="right" w:pos="8306"/>
      </w:tabs>
      <w:snapToGrid w:val="0"/>
      <w:jc w:val="left"/>
    </w:pPr>
    <w:rPr>
      <w:sz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0">
    <w:name w:val="正文缩进1"/>
    <w:basedOn w:val="1"/>
    <w:qFormat/>
    <w:uiPriority w:val="0"/>
    <w:pPr>
      <w:ind w:firstLine="420"/>
    </w:pPr>
    <w:rPr>
      <w:rFonts w:ascii="Calibri" w:hAnsi="Calibri" w:cs="黑体"/>
    </w:rPr>
  </w:style>
  <w:style w:type="paragraph" w:customStyle="1" w:styleId="11">
    <w:name w:val="纯文本1"/>
    <w:basedOn w:val="1"/>
    <w:qFormat/>
    <w:uiPriority w:val="0"/>
    <w:rPr>
      <w:rFonts w:ascii="宋体" w:hAnsi="Courier New" w:cs="Courier New"/>
      <w:szCs w:val="21"/>
    </w:rPr>
  </w:style>
  <w:style w:type="paragraph" w:customStyle="1" w:styleId="12">
    <w:name w:val="Normal Indent"/>
    <w:basedOn w:val="1"/>
    <w:qFormat/>
    <w:uiPriority w:val="0"/>
    <w:pPr>
      <w:widowControl/>
      <w:ind w:firstLine="420" w:firstLineChars="200"/>
    </w:pPr>
    <w:rPr>
      <w:rFonts w:ascii="Calibri" w:hAnsi="Calibri" w:cs="黑体"/>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18</TotalTime>
  <ScaleCrop>false</ScaleCrop>
  <LinksUpToDate>false</LinksUpToDate>
  <CharactersWithSpaces>0</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2025-07-09T00:32:00Z</dcterms:created>
  <dc:creator>LYF</dc:creator>
  <cp:lastModifiedBy>LYF</cp:lastModifiedBy>
  <dcterms:modified xsi:type="dcterms:W3CDTF">2025-07-09T03:20:10Z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