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CB641A">
      <w:pPr>
        <w:pStyle w:val="2"/>
        <w:bidi w:val="0"/>
        <w:ind w:left="0" w:leftChars="0" w:firstLine="0" w:firstLineChars="0"/>
        <w:rPr>
          <w:rFonts w:hint="eastAsia" w:ascii="宋体" w:hAnsi="宋体" w:eastAsia="宋体" w:cs="宋体"/>
          <w:b/>
          <w:bCs/>
          <w:kern w:val="2"/>
          <w:sz w:val="24"/>
          <w:szCs w:val="24"/>
          <w:lang w:val="en-US" w:eastAsia="zh-CN" w:bidi="ar-SA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  <w:lang w:val="en-US" w:eastAsia="zh-CN"/>
        </w:rPr>
        <w:t xml:space="preserve">二、 </w:t>
      </w:r>
      <w:r>
        <w:rPr>
          <w:rFonts w:hint="eastAsia" w:asciiTheme="minorEastAsia" w:hAnsiTheme="minorEastAsia" w:eastAsiaTheme="minorEastAsia" w:cstheme="minorEastAsia"/>
          <w:b/>
          <w:bCs/>
          <w:kern w:val="2"/>
          <w:sz w:val="32"/>
          <w:szCs w:val="32"/>
          <w:lang w:val="en-US" w:eastAsia="zh-CN" w:bidi="ar-SA"/>
        </w:rPr>
        <w:t>评审办法（综合评分法）</w:t>
      </w:r>
    </w:p>
    <w:p w14:paraId="4BB4CEA1">
      <w:pPr>
        <w:pStyle w:val="3"/>
        <w:rPr>
          <w:rFonts w:hint="eastAsia"/>
          <w:lang w:val="en-US" w:eastAsia="zh-CN"/>
        </w:rPr>
      </w:pPr>
    </w:p>
    <w:tbl>
      <w:tblPr>
        <w:tblStyle w:val="11"/>
        <w:tblW w:w="90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"/>
        <w:gridCol w:w="2413"/>
        <w:gridCol w:w="1323"/>
        <w:gridCol w:w="4498"/>
      </w:tblGrid>
      <w:tr w14:paraId="3C966D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6" w:hRule="atLeast"/>
        </w:trPr>
        <w:tc>
          <w:tcPr>
            <w:tcW w:w="9061" w:type="dxa"/>
            <w:gridSpan w:val="4"/>
            <w:noWrap w:val="0"/>
            <w:vAlign w:val="top"/>
          </w:tcPr>
          <w:p w14:paraId="569CE9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highlight w:val="none"/>
              </w:rPr>
              <w:t>综合评分法：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是指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比选申请文件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满足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比选文件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全部实质性要求且按评审因素的量化指标评审得分最高的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申请人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为成交候选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lang w:eastAsia="zh-CN"/>
              </w:rPr>
              <w:t>申请人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</w:rPr>
              <w:t>的评审方法。本项目评审细则详见下表。</w:t>
            </w:r>
          </w:p>
          <w:p w14:paraId="68BA71ED">
            <w:pPr>
              <w:pStyle w:val="2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49E50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6" w:hRule="atLeast"/>
        </w:trPr>
        <w:tc>
          <w:tcPr>
            <w:tcW w:w="9061" w:type="dxa"/>
            <w:gridSpan w:val="4"/>
            <w:noWrap w:val="0"/>
            <w:vAlign w:val="top"/>
          </w:tcPr>
          <w:p w14:paraId="74D3F3C4"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评审细则：</w:t>
            </w:r>
          </w:p>
        </w:tc>
      </w:tr>
      <w:tr w14:paraId="7AD43E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1" w:hRule="atLeast"/>
        </w:trPr>
        <w:tc>
          <w:tcPr>
            <w:tcW w:w="9061" w:type="dxa"/>
            <w:gridSpan w:val="4"/>
            <w:noWrap w:val="0"/>
            <w:vAlign w:val="top"/>
          </w:tcPr>
          <w:p w14:paraId="47B73252">
            <w:pPr>
              <w:pageBreakBefore w:val="0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uto"/>
                <w:sz w:val="24"/>
                <w:szCs w:val="24"/>
                <w:lang w:val="en-US" w:eastAsia="zh-CN"/>
              </w:rPr>
              <w:t>分值构成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val="en-US" w:eastAsia="zh-CN"/>
              </w:rPr>
              <w:t>：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</w:rPr>
              <w:t>总    分：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u w:val="single"/>
              </w:rPr>
              <w:t xml:space="preserve"> 100 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</w:rPr>
              <w:t>分</w:t>
            </w:r>
          </w:p>
          <w:p w14:paraId="2D07B64E">
            <w:pPr>
              <w:pageBreakBefore w:val="0"/>
              <w:ind w:firstLine="960" w:firstLineChars="400"/>
              <w:jc w:val="left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val="en-US" w:eastAsia="zh-CN"/>
              </w:rPr>
              <w:t>报价部分： 60分</w:t>
            </w:r>
          </w:p>
          <w:p w14:paraId="3AE4BC0E">
            <w:pPr>
              <w:pageBreakBefore w:val="0"/>
              <w:ind w:firstLine="960" w:firstLineChars="400"/>
              <w:jc w:val="left"/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</w:rPr>
              <w:t>技术部分：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  <w:lang w:val="en-US" w:eastAsia="zh-CN"/>
              </w:rPr>
              <w:t xml:space="preserve"> 30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</w:rPr>
              <w:t>分</w:t>
            </w:r>
          </w:p>
          <w:p w14:paraId="421A2AEA">
            <w:pPr>
              <w:ind w:firstLine="960" w:firstLineChars="400"/>
              <w:rPr>
                <w:rFonts w:hint="eastAsia" w:ascii="宋体" w:hAnsi="宋体" w:eastAsia="宋体" w:cs="宋体"/>
                <w:b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商务部分：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10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  <w:szCs w:val="24"/>
              </w:rPr>
              <w:t>分</w:t>
            </w:r>
          </w:p>
          <w:p w14:paraId="15AA5BDA">
            <w:pPr>
              <w:pStyle w:val="2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49250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827" w:type="dxa"/>
            <w:noWrap w:val="0"/>
            <w:vAlign w:val="top"/>
          </w:tcPr>
          <w:p w14:paraId="00EB1B2D"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2413" w:type="dxa"/>
            <w:noWrap w:val="0"/>
            <w:vAlign w:val="top"/>
          </w:tcPr>
          <w:p w14:paraId="49017BE9">
            <w:pPr>
              <w:pStyle w:val="2"/>
              <w:ind w:left="0" w:leftChars="0"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分值</w:t>
            </w:r>
          </w:p>
        </w:tc>
        <w:tc>
          <w:tcPr>
            <w:tcW w:w="1323" w:type="dxa"/>
            <w:noWrap w:val="0"/>
            <w:vAlign w:val="top"/>
          </w:tcPr>
          <w:p w14:paraId="1C320926"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评分因素</w:t>
            </w:r>
          </w:p>
        </w:tc>
        <w:tc>
          <w:tcPr>
            <w:tcW w:w="4498" w:type="dxa"/>
            <w:noWrap w:val="0"/>
            <w:vAlign w:val="top"/>
          </w:tcPr>
          <w:p w14:paraId="2E751277"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评分标准</w:t>
            </w:r>
          </w:p>
        </w:tc>
      </w:tr>
      <w:tr w14:paraId="606F7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3" w:hRule="atLeast"/>
        </w:trPr>
        <w:tc>
          <w:tcPr>
            <w:tcW w:w="827" w:type="dxa"/>
            <w:noWrap w:val="0"/>
            <w:vAlign w:val="top"/>
          </w:tcPr>
          <w:p w14:paraId="7B8BE591"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 w14:paraId="58D290D5"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 w14:paraId="5A6A4DB3"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413" w:type="dxa"/>
            <w:noWrap w:val="0"/>
            <w:vAlign w:val="top"/>
          </w:tcPr>
          <w:p w14:paraId="4E50B5EE"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 w14:paraId="72511113"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 w14:paraId="02A8CF3F"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报价部分</w:t>
            </w:r>
          </w:p>
          <w:p w14:paraId="78B827B2"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（60分）</w:t>
            </w:r>
          </w:p>
        </w:tc>
        <w:tc>
          <w:tcPr>
            <w:tcW w:w="1323" w:type="dxa"/>
            <w:noWrap w:val="0"/>
            <w:vAlign w:val="top"/>
          </w:tcPr>
          <w:p w14:paraId="1C3E36B3"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 w14:paraId="62EBBA58"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 w14:paraId="5DAD43B5"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 w14:paraId="1FADB70A"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投标</w:t>
            </w:r>
          </w:p>
          <w:p w14:paraId="520394B4"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报价</w:t>
            </w:r>
          </w:p>
        </w:tc>
        <w:tc>
          <w:tcPr>
            <w:tcW w:w="4498" w:type="dxa"/>
            <w:noWrap w:val="0"/>
            <w:vAlign w:val="top"/>
          </w:tcPr>
          <w:p w14:paraId="72A80C86"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71E97297"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765EADC6"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满足院内议价文件要求且价格最低的供应商报价为评标基准价，其价格分为满分。其他供应商的价格分统一按照公式计算：</w:t>
            </w:r>
            <w:bookmarkStart w:id="0" w:name="OLE_LINK7"/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院内议价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报价得分=（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院内议价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基准价/最后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院内议价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报价）×</w:t>
            </w:r>
            <w:bookmarkEnd w:id="0"/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60分</w:t>
            </w:r>
          </w:p>
        </w:tc>
      </w:tr>
      <w:tr w14:paraId="331CF3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8" w:hRule="atLeast"/>
        </w:trPr>
        <w:tc>
          <w:tcPr>
            <w:tcW w:w="827" w:type="dxa"/>
            <w:vMerge w:val="restart"/>
            <w:noWrap w:val="0"/>
            <w:vAlign w:val="top"/>
          </w:tcPr>
          <w:p w14:paraId="18489C7E"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 w14:paraId="2BC9AD1C"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 w14:paraId="50FD8FAE"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 w14:paraId="266ACD4B"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 w14:paraId="31E6025E"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 w14:paraId="286B5B3E"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413" w:type="dxa"/>
            <w:vMerge w:val="restart"/>
            <w:noWrap w:val="0"/>
            <w:vAlign w:val="top"/>
          </w:tcPr>
          <w:p w14:paraId="03BF8E0D"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 w14:paraId="496494C6"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 w14:paraId="48056593"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 w14:paraId="2E887FAC"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 w14:paraId="10159650"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 w14:paraId="6C82ED5E"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技术部分</w:t>
            </w:r>
          </w:p>
          <w:p w14:paraId="6757148C"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（30分）</w:t>
            </w:r>
          </w:p>
        </w:tc>
        <w:tc>
          <w:tcPr>
            <w:tcW w:w="1323" w:type="dxa"/>
            <w:noWrap w:val="0"/>
            <w:vAlign w:val="top"/>
          </w:tcPr>
          <w:p w14:paraId="577922B0"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 w14:paraId="20CCBB65"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 w14:paraId="795771C2"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 w14:paraId="4C88B243"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 w14:paraId="49C32E4E"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设备功能（1</w:t>
            </w: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分）</w:t>
            </w:r>
          </w:p>
        </w:tc>
        <w:tc>
          <w:tcPr>
            <w:tcW w:w="4498" w:type="dxa"/>
            <w:noWrap w:val="0"/>
            <w:vAlign w:val="top"/>
          </w:tcPr>
          <w:p w14:paraId="4CCC7335"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78A7766D"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  <w:p w14:paraId="1A27867C"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设备安全性能高，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配套完善，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得7- 1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分；安全性能一般，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配套一般，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得3- 6分；安全性能差，得1-2分。</w:t>
            </w:r>
          </w:p>
        </w:tc>
      </w:tr>
      <w:tr w14:paraId="35824E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6" w:hRule="atLeast"/>
        </w:trPr>
        <w:tc>
          <w:tcPr>
            <w:tcW w:w="827" w:type="dxa"/>
            <w:vMerge w:val="continue"/>
            <w:noWrap w:val="0"/>
            <w:vAlign w:val="top"/>
          </w:tcPr>
          <w:p w14:paraId="3D40A994"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413" w:type="dxa"/>
            <w:vMerge w:val="continue"/>
            <w:noWrap w:val="0"/>
            <w:vAlign w:val="top"/>
          </w:tcPr>
          <w:p w14:paraId="3A5AEDF0"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323" w:type="dxa"/>
            <w:noWrap w:val="0"/>
            <w:vAlign w:val="top"/>
          </w:tcPr>
          <w:p w14:paraId="1827AF04"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 w14:paraId="43CFBAD9"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 w14:paraId="07CC42DA"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 w14:paraId="24C12B6B"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设备性能（15分）</w:t>
            </w:r>
          </w:p>
        </w:tc>
        <w:tc>
          <w:tcPr>
            <w:tcW w:w="4498" w:type="dxa"/>
            <w:noWrap w:val="0"/>
            <w:vAlign w:val="top"/>
          </w:tcPr>
          <w:p w14:paraId="2982AC3D">
            <w:pPr>
              <w:pageBreakBefore w:val="0"/>
              <w:spacing w:line="360" w:lineRule="auto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设备各项性能参数与标准值误差在极小范围内，完全满足临床高精度需求，得8- 15分；误差在可接受范围，基本满足临床需求，得3- 7分；误差较大，影响部分结果准确性，1-2分。</w:t>
            </w:r>
          </w:p>
        </w:tc>
      </w:tr>
      <w:tr w14:paraId="70DB70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0" w:hRule="atLeast"/>
        </w:trPr>
        <w:tc>
          <w:tcPr>
            <w:tcW w:w="827" w:type="dxa"/>
            <w:noWrap w:val="0"/>
            <w:vAlign w:val="top"/>
          </w:tcPr>
          <w:p w14:paraId="41817D9F"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 w14:paraId="7D1229FC"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 w14:paraId="0B103757">
            <w:pPr>
              <w:pStyle w:val="2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413" w:type="dxa"/>
            <w:noWrap w:val="0"/>
            <w:vAlign w:val="top"/>
          </w:tcPr>
          <w:p w14:paraId="1A2CB1ED"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 w14:paraId="07F208EC">
            <w:pPr>
              <w:pStyle w:val="2"/>
              <w:ind w:left="0" w:leftChars="0" w:firstLine="480" w:firstLineChars="200"/>
              <w:jc w:val="both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 w14:paraId="29C6FA2F">
            <w:pPr>
              <w:pStyle w:val="2"/>
              <w:ind w:left="0" w:leftChars="0" w:firstLine="480" w:firstLineChars="200"/>
              <w:jc w:val="both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 w14:paraId="7B4A3C2A">
            <w:pPr>
              <w:pStyle w:val="2"/>
              <w:ind w:left="0" w:leftChars="0" w:firstLine="480" w:firstLineChars="200"/>
              <w:jc w:val="both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商务部分</w:t>
            </w:r>
          </w:p>
          <w:p w14:paraId="43E071C3">
            <w:pPr>
              <w:pStyle w:val="2"/>
              <w:ind w:left="0" w:leftChars="0" w:firstLine="480" w:firstLineChars="200"/>
              <w:jc w:val="both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（10分）</w:t>
            </w:r>
          </w:p>
        </w:tc>
        <w:tc>
          <w:tcPr>
            <w:tcW w:w="1323" w:type="dxa"/>
            <w:noWrap w:val="0"/>
            <w:vAlign w:val="top"/>
          </w:tcPr>
          <w:p w14:paraId="4BFE081C"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 w14:paraId="7F1B075E"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 w14:paraId="13685970"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  <w:p w14:paraId="5ADF5BA5"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售后服务（1</w:t>
            </w:r>
            <w:r>
              <w:rPr>
                <w:rFonts w:hint="eastAsia" w:ascii="宋体" w:hAnsi="宋体" w:cs="宋体"/>
                <w:sz w:val="24"/>
                <w:szCs w:val="24"/>
                <w:vertAlign w:val="baseline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分）</w:t>
            </w:r>
          </w:p>
        </w:tc>
        <w:tc>
          <w:tcPr>
            <w:tcW w:w="4498" w:type="dxa"/>
            <w:noWrap w:val="0"/>
            <w:vAlign w:val="top"/>
          </w:tcPr>
          <w:p w14:paraId="00EA9531"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22300303"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  <w:p w14:paraId="0EFCF74C"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响应时间短（24小时内响应并提供解决方案）、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质保期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、售后服务完善，得5 - 10分；响应时间、质保期和服务一般，得3 - 4分；较差得1 - 2分 。</w:t>
            </w:r>
          </w:p>
        </w:tc>
      </w:tr>
    </w:tbl>
    <w:p w14:paraId="1DF79552">
      <w:pPr>
        <w:pStyle w:val="2"/>
        <w:rPr>
          <w:rFonts w:hint="default"/>
          <w:lang w:val="en-US" w:eastAsia="zh-CN"/>
        </w:rPr>
      </w:pPr>
    </w:p>
    <w:p w14:paraId="46BDC6FB">
      <w:pPr>
        <w:rPr>
          <w:rFonts w:hint="default"/>
          <w:lang w:val="en-US" w:eastAsia="zh-CN"/>
        </w:rPr>
      </w:pPr>
      <w:bookmarkStart w:id="1" w:name="_GoBack"/>
      <w:bookmarkEnd w:id="1"/>
    </w:p>
    <w:sectPr>
      <w:headerReference r:id="rId3" w:type="default"/>
      <w:pgSz w:w="11906" w:h="16838"/>
      <w:pgMar w:top="1440" w:right="1800" w:bottom="1440" w:left="1800" w:header="851" w:footer="992" w:gutter="0"/>
      <w:lnNumType w:countBy="0" w:restart="continuous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45BAD7">
    <w:pPr>
      <w:spacing w:line="210" w:lineRule="auto"/>
      <w:ind w:left="804"/>
      <w:rPr>
        <w:rFonts w:ascii="宋体" w:hAnsi="宋体" w:eastAsia="宋体" w:cs="宋体"/>
        <w:sz w:val="17"/>
        <w:szCs w:val="17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7AC"/>
    <w:rsid w:val="00011980"/>
    <w:rsid w:val="00047375"/>
    <w:rsid w:val="0008436C"/>
    <w:rsid w:val="000B04CA"/>
    <w:rsid w:val="000D409B"/>
    <w:rsid w:val="000D768C"/>
    <w:rsid w:val="000E5983"/>
    <w:rsid w:val="001061D5"/>
    <w:rsid w:val="0012113A"/>
    <w:rsid w:val="001A3C4F"/>
    <w:rsid w:val="00200F96"/>
    <w:rsid w:val="00242D07"/>
    <w:rsid w:val="002F725D"/>
    <w:rsid w:val="00323255"/>
    <w:rsid w:val="00325429"/>
    <w:rsid w:val="003372E9"/>
    <w:rsid w:val="003968AB"/>
    <w:rsid w:val="003F296D"/>
    <w:rsid w:val="004921EB"/>
    <w:rsid w:val="004B131E"/>
    <w:rsid w:val="004E0109"/>
    <w:rsid w:val="00537199"/>
    <w:rsid w:val="00573DC3"/>
    <w:rsid w:val="00596B6C"/>
    <w:rsid w:val="005A6369"/>
    <w:rsid w:val="00647DB9"/>
    <w:rsid w:val="006845CF"/>
    <w:rsid w:val="006A34B9"/>
    <w:rsid w:val="007406C1"/>
    <w:rsid w:val="00742F69"/>
    <w:rsid w:val="007B491F"/>
    <w:rsid w:val="007B7915"/>
    <w:rsid w:val="007C5CB6"/>
    <w:rsid w:val="007F79BC"/>
    <w:rsid w:val="00800405"/>
    <w:rsid w:val="00854B1C"/>
    <w:rsid w:val="008762F1"/>
    <w:rsid w:val="00881F99"/>
    <w:rsid w:val="008D77FC"/>
    <w:rsid w:val="00925B29"/>
    <w:rsid w:val="00956C54"/>
    <w:rsid w:val="009974C5"/>
    <w:rsid w:val="009D608E"/>
    <w:rsid w:val="009D6D01"/>
    <w:rsid w:val="009E2831"/>
    <w:rsid w:val="00A15449"/>
    <w:rsid w:val="00A5462A"/>
    <w:rsid w:val="00AA6B87"/>
    <w:rsid w:val="00B21FB5"/>
    <w:rsid w:val="00BB32E2"/>
    <w:rsid w:val="00BC3206"/>
    <w:rsid w:val="00BD6B20"/>
    <w:rsid w:val="00BE515B"/>
    <w:rsid w:val="00C0500A"/>
    <w:rsid w:val="00C17E89"/>
    <w:rsid w:val="00C20300"/>
    <w:rsid w:val="00C326ED"/>
    <w:rsid w:val="00C57D01"/>
    <w:rsid w:val="00C86388"/>
    <w:rsid w:val="00C979FD"/>
    <w:rsid w:val="00CA1FBE"/>
    <w:rsid w:val="00CA39E9"/>
    <w:rsid w:val="00CE2A57"/>
    <w:rsid w:val="00CE5CA8"/>
    <w:rsid w:val="00D15B94"/>
    <w:rsid w:val="00D443B8"/>
    <w:rsid w:val="00D577AC"/>
    <w:rsid w:val="00DC6906"/>
    <w:rsid w:val="00E047AC"/>
    <w:rsid w:val="00E2153B"/>
    <w:rsid w:val="00E25564"/>
    <w:rsid w:val="00E66759"/>
    <w:rsid w:val="00EB0C0E"/>
    <w:rsid w:val="00EE6134"/>
    <w:rsid w:val="00F16D17"/>
    <w:rsid w:val="00F36F73"/>
    <w:rsid w:val="00F438DC"/>
    <w:rsid w:val="00F51582"/>
    <w:rsid w:val="00F76358"/>
    <w:rsid w:val="00FF1F42"/>
    <w:rsid w:val="00FF2443"/>
    <w:rsid w:val="052A6152"/>
    <w:rsid w:val="090967C0"/>
    <w:rsid w:val="0FAE72AF"/>
    <w:rsid w:val="15A82E09"/>
    <w:rsid w:val="17C123B3"/>
    <w:rsid w:val="17F0341D"/>
    <w:rsid w:val="1BC07F75"/>
    <w:rsid w:val="1E263DCF"/>
    <w:rsid w:val="27956963"/>
    <w:rsid w:val="2D452F54"/>
    <w:rsid w:val="31BD0D0E"/>
    <w:rsid w:val="34F945DD"/>
    <w:rsid w:val="362925B3"/>
    <w:rsid w:val="39464B36"/>
    <w:rsid w:val="39FF7EFD"/>
    <w:rsid w:val="42572AC8"/>
    <w:rsid w:val="475D05B3"/>
    <w:rsid w:val="4CAC423A"/>
    <w:rsid w:val="56544728"/>
    <w:rsid w:val="582E606A"/>
    <w:rsid w:val="62AA5A33"/>
    <w:rsid w:val="67345ED2"/>
    <w:rsid w:val="6E0673E9"/>
    <w:rsid w:val="72595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4">
    <w:name w:val="heading 2"/>
    <w:basedOn w:val="1"/>
    <w:next w:val="1"/>
    <w:unhideWhenUsed/>
    <w:qFormat/>
    <w:uiPriority w:val="0"/>
    <w:pPr>
      <w:spacing w:before="100" w:beforeAutospacing="1" w:afterAutospacing="1" w:line="560" w:lineRule="exact"/>
      <w:ind w:firstLine="880" w:firstLineChars="200"/>
      <w:jc w:val="left"/>
      <w:outlineLvl w:val="1"/>
    </w:pPr>
    <w:rPr>
      <w:rFonts w:hint="eastAsia" w:ascii="宋体" w:hAnsi="宋体" w:eastAsia="黑体" w:cs="宋体"/>
      <w:kern w:val="0"/>
      <w:sz w:val="32"/>
      <w:szCs w:val="36"/>
      <w:lang w:bidi="ar"/>
    </w:rPr>
  </w:style>
  <w:style w:type="paragraph" w:styleId="5">
    <w:name w:val="heading 3"/>
    <w:basedOn w:val="1"/>
    <w:next w:val="1"/>
    <w:qFormat/>
    <w:uiPriority w:val="9"/>
    <w:pPr>
      <w:keepNext/>
      <w:keepLines/>
      <w:spacing w:before="120" w:after="120" w:line="360" w:lineRule="auto"/>
      <w:ind w:firstLine="200" w:firstLineChars="200"/>
      <w:jc w:val="center"/>
      <w:outlineLvl w:val="2"/>
    </w:pPr>
    <w:rPr>
      <w:rFonts w:ascii="宋体"/>
      <w:b/>
      <w:bCs/>
      <w:kern w:val="0"/>
      <w:sz w:val="32"/>
      <w:szCs w:val="32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sz w:val="44"/>
    </w:rPr>
  </w:style>
  <w:style w:type="paragraph" w:styleId="3">
    <w:name w:val="Date"/>
    <w:basedOn w:val="1"/>
    <w:next w:val="1"/>
    <w:qFormat/>
    <w:uiPriority w:val="0"/>
    <w:pPr>
      <w:ind w:left="100" w:leftChars="2500"/>
    </w:pPr>
  </w:style>
  <w:style w:type="paragraph" w:styleId="6">
    <w:name w:val="Balloon Text"/>
    <w:basedOn w:val="1"/>
    <w:link w:val="18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2">
    <w:name w:val="Light Shading Accent 2"/>
    <w:basedOn w:val="10"/>
    <w:qFormat/>
    <w:uiPriority w:val="60"/>
    <w:rPr>
      <w:color w:val="943634"/>
    </w:rPr>
    <w:tblPr>
      <w:tblBorders>
        <w:top w:val="single" w:color="C0504D" w:sz="8" w:space="0"/>
        <w:bottom w:val="single" w:color="C0504D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13">
    <w:name w:val="Light Shading Accent 3"/>
    <w:basedOn w:val="10"/>
    <w:qFormat/>
    <w:uiPriority w:val="60"/>
    <w:rPr>
      <w:color w:val="76923C"/>
    </w:rPr>
    <w:tblPr>
      <w:tblBorders>
        <w:top w:val="single" w:color="9BBB59" w:sz="8" w:space="0"/>
        <w:bottom w:val="single" w:color="9BBB59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</w:style>
  <w:style w:type="paragraph" w:styleId="15">
    <w:name w:val="List Paragraph"/>
    <w:basedOn w:val="1"/>
    <w:qFormat/>
    <w:uiPriority w:val="34"/>
    <w:pPr>
      <w:ind w:firstLine="420" w:firstLineChars="200"/>
    </w:pPr>
  </w:style>
  <w:style w:type="character" w:customStyle="1" w:styleId="16">
    <w:name w:val="页眉 Char"/>
    <w:basedOn w:val="14"/>
    <w:link w:val="8"/>
    <w:qFormat/>
    <w:uiPriority w:val="99"/>
    <w:rPr>
      <w:sz w:val="18"/>
      <w:szCs w:val="18"/>
    </w:rPr>
  </w:style>
  <w:style w:type="character" w:customStyle="1" w:styleId="17">
    <w:name w:val="页脚 Char"/>
    <w:basedOn w:val="14"/>
    <w:link w:val="7"/>
    <w:qFormat/>
    <w:uiPriority w:val="99"/>
    <w:rPr>
      <w:sz w:val="18"/>
      <w:szCs w:val="18"/>
    </w:rPr>
  </w:style>
  <w:style w:type="character" w:customStyle="1" w:styleId="18">
    <w:name w:val="批注框文本 Char"/>
    <w:basedOn w:val="14"/>
    <w:link w:val="6"/>
    <w:semiHidden/>
    <w:qFormat/>
    <w:uiPriority w:val="99"/>
    <w:rPr>
      <w:sz w:val="18"/>
      <w:szCs w:val="18"/>
    </w:rPr>
  </w:style>
  <w:style w:type="table" w:customStyle="1" w:styleId="19">
    <w:name w:val="浅色底纹1"/>
    <w:basedOn w:val="10"/>
    <w:qFormat/>
    <w:uiPriority w:val="60"/>
    <w:rPr>
      <w:color w:val="000000"/>
    </w:rPr>
    <w:tblPr>
      <w:tblBorders>
        <w:top w:val="single" w:color="000000" w:sz="8" w:space="0"/>
        <w:bottom w:val="single" w:color="000000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20">
    <w:name w:val="浅色底纹 - 强调文字颜色 11"/>
    <w:basedOn w:val="10"/>
    <w:qFormat/>
    <w:uiPriority w:val="60"/>
    <w:rPr>
      <w:color w:val="365F91"/>
    </w:rPr>
    <w:tblPr>
      <w:tblBorders>
        <w:top w:val="single" w:color="4F81BD" w:sz="8" w:space="0"/>
        <w:bottom w:val="single" w:color="4F81BD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customStyle="1" w:styleId="21">
    <w:name w:val="Table Paragraph"/>
    <w:basedOn w:val="1"/>
    <w:qFormat/>
    <w:uiPriority w:val="0"/>
    <w:rPr>
      <w:rFonts w:ascii="宋体" w:hAnsi="宋体" w:cs="宋体"/>
      <w:lang w:val="zh-CN" w:bidi="zh-CN"/>
    </w:rPr>
  </w:style>
  <w:style w:type="paragraph" w:customStyle="1" w:styleId="22">
    <w:name w:val="正文缩进1"/>
    <w:basedOn w:val="1"/>
    <w:qFormat/>
    <w:uiPriority w:val="0"/>
    <w:pPr>
      <w:ind w:firstLine="420"/>
    </w:pPr>
    <w:rPr>
      <w:rFonts w:ascii="Calibri" w:hAnsi="Calibri" w:cs="黑体"/>
    </w:rPr>
  </w:style>
  <w:style w:type="paragraph" w:customStyle="1" w:styleId="23">
    <w:name w:val="纯文本1"/>
    <w:basedOn w:val="1"/>
    <w:qFormat/>
    <w:uiPriority w:val="0"/>
    <w:rPr>
      <w:rFonts w:ascii="宋体" w:hAnsi="Courier New" w:cs="Courier New"/>
      <w:szCs w:val="21"/>
    </w:rPr>
  </w:style>
  <w:style w:type="paragraph" w:customStyle="1" w:styleId="24">
    <w:name w:val="Normal Indent"/>
    <w:basedOn w:val="1"/>
    <w:qFormat/>
    <w:uiPriority w:val="0"/>
    <w:pPr>
      <w:widowControl/>
      <w:ind w:firstLine="420" w:firstLineChars="200"/>
    </w:pPr>
    <w:rPr>
      <w:rFonts w:ascii="Calibri" w:hAnsi="Calibri" w:cs="黑体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中国石油大学</Company>
  <Pages>2</Pages>
  <Words>4315</Words>
  <Characters>4435</Characters>
  <Lines>5</Lines>
  <Paragraphs>1</Paragraphs>
  <TotalTime>26</TotalTime>
  <ScaleCrop>false</ScaleCrop>
  <LinksUpToDate>false</LinksUpToDate>
  <CharactersWithSpaces>5421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2016-09-22T08:37:00Z</dcterms:created>
  <dc:creator>Windows User</dc:creator>
  <cp:lastModifiedBy>悠幽</cp:lastModifiedBy>
  <cp:lastPrinted>2020-08-20T00:39:00Z</cp:lastPrinted>
  <dcterms:modified xsi:type="dcterms:W3CDTF">2025-06-30T09:17:04Z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KSOTemplateDocerSaveRecord">
    <vt:lpwstr>eyJoZGlkIjoiYTRjYmM1NTUzYWJlZjFkNTQ5ZTkwZDA0YjFmMzA1NmIiLCJ1c2VySWQiOiIzOTUwMzA5MzAifQ==</vt:lpwstr>
  </property>
  <property fmtid="{D5CDD505-2E9C-101B-9397-08002B2CF9AE}" pid="4" name="ICV">
    <vt:lpwstr>0B34AA9A65AB4ED0A558350AF6782BC5_13</vt:lpwstr>
  </property>
</Properties>
</file>