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附件二：</w:t>
      </w:r>
    </w:p>
    <w:p>
      <w:pPr>
        <w:pStyle w:val="2"/>
        <w:bidi w:val="0"/>
        <w:ind w:left="0" w:leftChars="0" w:firstLine="0" w:firstLineChars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评审办法（综合评分法）</w:t>
      </w:r>
    </w:p>
    <w:tbl>
      <w:tblPr>
        <w:tblStyle w:val="6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641"/>
        <w:gridCol w:w="2120"/>
        <w:gridCol w:w="45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2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综合评分法：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申请文件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满足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全部实质性要求且按评审因素的量化指标评审得分最高的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为成交候选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的评审方法。本项目评审细则详见下表。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120" w:type="dxa"/>
            <w:gridSpan w:val="4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评审细则：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9120" w:type="dxa"/>
            <w:gridSpan w:val="4"/>
            <w:noWrap w:val="0"/>
            <w:vAlign w:val="top"/>
          </w:tcPr>
          <w:p>
            <w:pPr>
              <w:pageBreakBefore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分值构成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总    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</w:rPr>
              <w:t xml:space="preserve"> 100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>
            <w:pPr>
              <w:pageBreakBefore w:val="0"/>
              <w:ind w:firstLine="960" w:firstLineChars="40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报价部分： 60分</w:t>
            </w:r>
          </w:p>
          <w:p>
            <w:pPr>
              <w:pageBreakBefore w:val="0"/>
              <w:ind w:firstLine="960" w:firstLineChars="40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技术部分：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30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>
            <w:pPr>
              <w:ind w:firstLine="960" w:firstLineChars="4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商务部分：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10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83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41" w:type="dxa"/>
            <w:noWrap w:val="0"/>
            <w:vAlign w:val="top"/>
          </w:tcPr>
          <w:p>
            <w:pPr>
              <w:pStyle w:val="2"/>
              <w:ind w:left="0" w:leftChars="0"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评分因素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83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报价部分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（60分）</w:t>
            </w: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满足院内议价文件要求且价格最低的供应商报价为评标基准价，其价格分为满分。其他供应商的价格分统一按照公式计算：</w:t>
            </w:r>
            <w:bookmarkStart w:id="0" w:name="OLE_LINK7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报价得分=（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基准价/最后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报价）×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60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832" w:type="dxa"/>
            <w:vMerge w:val="restar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41" w:type="dxa"/>
            <w:vMerge w:val="restar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技术部分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设备性能（10分）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误差在极小范围内，完全满足临床高精度需求，得7-10分；误差在可接受范围，基本满足临床需求，得4-6分；误差较大，影响部分结果准确性，1-3分。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</w:trPr>
        <w:tc>
          <w:tcPr>
            <w:tcW w:w="832" w:type="dxa"/>
            <w:vMerge w:val="continue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设备功能（15分）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ageBreakBefore w:val="0"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设备运行稳定，功能多样性，安全性能高，有良好的抗干扰能力，得11-15分；功能一般，安全性能一般，运行基本稳定，偶有轻微波动，得5-10分；功能差，安全性能差，稳定性差，波动大，得1-4分。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</w:trPr>
        <w:tc>
          <w:tcPr>
            <w:tcW w:w="832" w:type="dxa"/>
            <w:vMerge w:val="continue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设备操作便捷性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（5分）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操作界面简洁直观，操作步骤简单易懂，无需复杂培训即可上手，得4 - 5分；操作基本方便，需一定培训，得2 - 3分；操作复杂，界面不友好，得1分 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83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4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商务部分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2120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售后服务（10分）</w:t>
            </w:r>
          </w:p>
        </w:tc>
        <w:tc>
          <w:tcPr>
            <w:tcW w:w="4527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响应时间短（24小时内响应并提供解决方案）、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、售后服务完善，得5 - 10分；响应时间、质保期和服务一般，得3 - 4分；较差得1 - 2分 。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/>
    <w:sectPr>
      <w:footerReference r:id="rId3" w:type="default"/>
      <w:pgSz w:w="11906" w:h="16838"/>
      <w:pgMar w:top="2098" w:right="1474" w:bottom="1928" w:left="1587" w:header="851" w:footer="1531" w:gutter="0"/>
      <w:lnNumType w:countBy="0" w:restart="continuous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A403A"/>
    <w:rsid w:val="045B7015"/>
    <w:rsid w:val="3ECA4B05"/>
    <w:rsid w:val="487112D3"/>
    <w:rsid w:val="4F284E45"/>
    <w:rsid w:val="592A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2025-06-16T01:55:00Z</dcterms:created>
  <dc:creator>悠幽</dc:creator>
  <cp:lastModifiedBy>瑜仔</cp:lastModifiedBy>
  <dcterms:modified xsi:type="dcterms:W3CDTF">2025-06-16T06:42:24Z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  <property fmtid="{D5CDD505-2E9C-101B-9397-08002B2CF9AE}" pid="3" name="ICV">
    <vt:lpwstr>13063495CC9E4593B4D342B1C7B1AC92_11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