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88E56">
      <w:pPr>
        <w:pStyle w:val="2"/>
        <w:bidi w:val="0"/>
        <w:ind w:left="0" w:leftChars="0" w:firstLine="0" w:firstLineChars="0"/>
        <w:rPr>
          <w:rFonts w:hint="eastAsia" w:ascii="黑体" w:hAnsi="黑体" w:eastAsia="黑体" w:cs="黑体"/>
          <w:b/>
          <w:bCs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lang w:val="en-US" w:eastAsia="zh-CN"/>
        </w:rPr>
        <w:t>附件一：</w:t>
      </w:r>
    </w:p>
    <w:p w14:paraId="67431DD5">
      <w:pPr>
        <w:pStyle w:val="2"/>
        <w:bidi w:val="0"/>
        <w:ind w:left="0" w:leftChars="0" w:firstLine="0" w:firstLineChars="0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/>
          <w:bCs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评审细则（综合评分法）</w:t>
      </w:r>
    </w:p>
    <w:p w14:paraId="2BB97DAE">
      <w:pPr>
        <w:rPr>
          <w:rFonts w:hint="eastAsia"/>
          <w:lang w:val="en-US" w:eastAsia="zh-CN"/>
        </w:rPr>
      </w:pPr>
    </w:p>
    <w:tbl>
      <w:tblPr>
        <w:tblStyle w:val="10"/>
        <w:tblW w:w="960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229"/>
        <w:gridCol w:w="536"/>
        <w:gridCol w:w="27"/>
        <w:gridCol w:w="870"/>
        <w:gridCol w:w="1086"/>
        <w:gridCol w:w="447"/>
        <w:gridCol w:w="757"/>
        <w:gridCol w:w="5093"/>
        <w:gridCol w:w="1"/>
      </w:tblGrid>
      <w:tr w14:paraId="07C10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3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EDC593F"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条款号</w:t>
            </w: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19DA13"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评审因素</w:t>
            </w:r>
          </w:p>
        </w:tc>
        <w:tc>
          <w:tcPr>
            <w:tcW w:w="629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CBC0B21"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评审标准</w:t>
            </w:r>
          </w:p>
        </w:tc>
      </w:tr>
      <w:tr w14:paraId="5B42C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55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264D238"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2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83F1DAA"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实质性要求审查标</w:t>
            </w:r>
          </w:p>
          <w:p w14:paraId="6E12EE03"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准</w:t>
            </w: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855711"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资格条件</w:t>
            </w:r>
          </w:p>
        </w:tc>
        <w:tc>
          <w:tcPr>
            <w:tcW w:w="629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D63E1A5"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公告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供应商资格要求规定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；</w:t>
            </w:r>
          </w:p>
        </w:tc>
      </w:tr>
      <w:tr w14:paraId="32970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55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97F58EF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102AF8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6FBC25"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响应文件格式</w:t>
            </w:r>
          </w:p>
        </w:tc>
        <w:tc>
          <w:tcPr>
            <w:tcW w:w="629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E8BF7D1"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响应文件未按规定的格式、内容和要求填写，或改变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院内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议价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文件中附件格式的；</w:t>
            </w:r>
          </w:p>
        </w:tc>
      </w:tr>
      <w:tr w14:paraId="73BDF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55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937AD48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5C1E28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81B1D6D"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响应文件内容</w:t>
            </w:r>
          </w:p>
        </w:tc>
        <w:tc>
          <w:tcPr>
            <w:tcW w:w="629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9F89AC4"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响应文件内容书写潦草、字迹模糊不清难以辨认的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；</w:t>
            </w:r>
          </w:p>
        </w:tc>
      </w:tr>
      <w:tr w14:paraId="423AE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55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2672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F91CC4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AC05F6F"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实质性条款</w:t>
            </w:r>
          </w:p>
        </w:tc>
        <w:tc>
          <w:tcPr>
            <w:tcW w:w="629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5619517"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响应文件含有采购人不能接受的附加条件的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；</w:t>
            </w:r>
          </w:p>
        </w:tc>
      </w:tr>
      <w:tr w14:paraId="2F35F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55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FBDC49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C83858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052BE9"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其他实质性要求</w:t>
            </w:r>
          </w:p>
        </w:tc>
        <w:tc>
          <w:tcPr>
            <w:tcW w:w="629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CEFDD37"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符合法律、法规和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院内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议价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文件的要求。</w:t>
            </w:r>
          </w:p>
          <w:p w14:paraId="41B16747"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E91F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960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1BAB2A05"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上述评审标准，供应商须全部满足，否则为不合格的供应商，不得进入下一轮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院内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比选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报价。</w:t>
            </w:r>
          </w:p>
        </w:tc>
      </w:tr>
      <w:tr w14:paraId="560C4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424" w:hRule="atLeast"/>
          <w:jc w:val="center"/>
        </w:trPr>
        <w:tc>
          <w:tcPr>
            <w:tcW w:w="7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7E45A9">
            <w:pPr>
              <w:pageBreakBefore w:val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</w:t>
            </w:r>
          </w:p>
        </w:tc>
        <w:tc>
          <w:tcPr>
            <w:tcW w:w="536" w:type="dxa"/>
            <w:tcBorders>
              <w:tl2br w:val="nil"/>
              <w:tr2bl w:val="nil"/>
            </w:tcBorders>
            <w:noWrap w:val="0"/>
            <w:vAlign w:val="center"/>
          </w:tcPr>
          <w:p w14:paraId="5EEE6B6E">
            <w:pPr>
              <w:pageBreakBefore w:val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详细评审</w:t>
            </w:r>
          </w:p>
        </w:tc>
        <w:tc>
          <w:tcPr>
            <w:tcW w:w="24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AF6A91A">
            <w:pPr>
              <w:pageBreakBefore w:val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分值构成</w:t>
            </w:r>
          </w:p>
        </w:tc>
        <w:tc>
          <w:tcPr>
            <w:tcW w:w="58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261D9B4">
            <w:pPr>
              <w:pageBreakBefore w:val="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总    分：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single"/>
              </w:rPr>
              <w:t xml:space="preserve"> 100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分</w:t>
            </w:r>
          </w:p>
          <w:p w14:paraId="05613EAB">
            <w:pPr>
              <w:pageBreakBefore w:val="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技术部分：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分</w:t>
            </w:r>
          </w:p>
          <w:p w14:paraId="4FBE79FD">
            <w:pPr>
              <w:pageBreakBefore w:val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商务部分：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分</w:t>
            </w:r>
          </w:p>
        </w:tc>
      </w:tr>
      <w:tr w14:paraId="632AE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496" w:hRule="atLeast"/>
          <w:jc w:val="center"/>
        </w:trPr>
        <w:tc>
          <w:tcPr>
            <w:tcW w:w="784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96F725">
            <w:pPr>
              <w:pageBreakBefore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2.1</w:t>
            </w:r>
          </w:p>
        </w:tc>
        <w:tc>
          <w:tcPr>
            <w:tcW w:w="296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5C8E9F4">
            <w:pPr>
              <w:pageBreakBefore w:val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评审因素及分值</w:t>
            </w:r>
          </w:p>
        </w:tc>
        <w:tc>
          <w:tcPr>
            <w:tcW w:w="58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50EACB">
            <w:pPr>
              <w:pageBreakBefore w:val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评审标准</w:t>
            </w:r>
          </w:p>
        </w:tc>
      </w:tr>
      <w:tr w14:paraId="79F96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6065" w:hRule="atLeast"/>
          <w:jc w:val="center"/>
        </w:trPr>
        <w:tc>
          <w:tcPr>
            <w:tcW w:w="784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BFF67C3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477CFE8">
            <w:pPr>
              <w:pageBreakBefore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技术部分</w:t>
            </w:r>
          </w:p>
          <w:p w14:paraId="5BCF1019">
            <w:pPr>
              <w:pageBreakBefore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（总分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分）</w:t>
            </w:r>
          </w:p>
        </w:tc>
        <w:tc>
          <w:tcPr>
            <w:tcW w:w="153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D5904D">
            <w:pPr>
              <w:pageBreakBefore w:val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GB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GB"/>
              </w:rPr>
              <w:t>项目实施</w:t>
            </w:r>
          </w:p>
          <w:p w14:paraId="68878F55">
            <w:pPr>
              <w:pageBreakBefore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GB"/>
              </w:rPr>
              <w:t>方案</w:t>
            </w:r>
          </w:p>
        </w:tc>
        <w:tc>
          <w:tcPr>
            <w:tcW w:w="757" w:type="dxa"/>
            <w:tcBorders>
              <w:tl2br w:val="nil"/>
              <w:tr2bl w:val="nil"/>
            </w:tcBorders>
            <w:noWrap w:val="0"/>
            <w:vAlign w:val="center"/>
          </w:tcPr>
          <w:p w14:paraId="73D66329">
            <w:pPr>
              <w:pStyle w:val="14"/>
              <w:pageBreakBefore w:val="0"/>
              <w:spacing w:line="240" w:lineRule="auto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</w:t>
            </w:r>
          </w:p>
        </w:tc>
        <w:tc>
          <w:tcPr>
            <w:tcW w:w="5093" w:type="dxa"/>
            <w:tcBorders>
              <w:tl2br w:val="nil"/>
              <w:tr2bl w:val="nil"/>
            </w:tcBorders>
            <w:noWrap w:val="0"/>
            <w:vAlign w:val="center"/>
          </w:tcPr>
          <w:p w14:paraId="19D73E4F">
            <w:pPr>
              <w:pageBreakBefore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第一档次(51-70分):服务方案内容覆盖全面，完整详实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要点突出，针对性强，表述清晰，与本项目实际需求适应度高，利于项目实施，有具体的服务承诺及违约处罚：得51- 70分。</w:t>
            </w:r>
          </w:p>
          <w:p w14:paraId="62AC7397">
            <w:pPr>
              <w:pageBreakBefore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第二档次(31-50分):内容覆盖全面、要点较突出，有一定针对性、表述清晰，与本项目实际需求有较高适应度，符合项目实施要求，有服务承诺及违约处罚但不具体：得31 - 50分。</w:t>
            </w:r>
          </w:p>
          <w:p w14:paraId="447DA7C3">
            <w:pPr>
              <w:pageBreakBefore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第三个档次(11-30分):内容覆盖一般、要点突出一般，针对性一般，与本项目实际需求有一定适应度，服务承诺不具体无违约处罚：得11 - 30分。</w:t>
            </w:r>
          </w:p>
          <w:p w14:paraId="7060C4FF">
            <w:pPr>
              <w:pageBreakBefore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第四个档次(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-10分):服务方案不完整、内容差或未提供，无服务及违约承诺，未作任何说明的：得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-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0分。</w:t>
            </w:r>
          </w:p>
        </w:tc>
      </w:tr>
      <w:tr w14:paraId="5934B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46" w:hRule="atLeast"/>
          <w:jc w:val="center"/>
        </w:trPr>
        <w:tc>
          <w:tcPr>
            <w:tcW w:w="784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E3520FA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2.2</w:t>
            </w:r>
          </w:p>
        </w:tc>
        <w:tc>
          <w:tcPr>
            <w:tcW w:w="1433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D1D436F">
            <w:pPr>
              <w:pageBreakBefore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商务部分</w:t>
            </w:r>
          </w:p>
          <w:p w14:paraId="68F03773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(满分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分)</w:t>
            </w:r>
          </w:p>
        </w:tc>
        <w:tc>
          <w:tcPr>
            <w:tcW w:w="153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1E8DC1B">
            <w:pPr>
              <w:pageBreakBefore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团队人员</w:t>
            </w:r>
          </w:p>
          <w:p w14:paraId="17A92626">
            <w:pPr>
              <w:pageBreakBefore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配置</w:t>
            </w:r>
          </w:p>
        </w:tc>
        <w:tc>
          <w:tcPr>
            <w:tcW w:w="757" w:type="dxa"/>
            <w:tcBorders>
              <w:tl2br w:val="nil"/>
              <w:tr2bl w:val="nil"/>
            </w:tcBorders>
            <w:noWrap w:val="0"/>
            <w:vAlign w:val="center"/>
          </w:tcPr>
          <w:p w14:paraId="71773A34">
            <w:pPr>
              <w:pageBreakBefore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5093" w:type="dxa"/>
            <w:tcBorders>
              <w:tl2br w:val="nil"/>
              <w:tr2bl w:val="nil"/>
            </w:tcBorders>
            <w:noWrap w:val="0"/>
            <w:vAlign w:val="center"/>
          </w:tcPr>
          <w:p w14:paraId="1BB47DA8">
            <w:pPr>
              <w:pageBreakBefore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第一个档次(1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分):服务团队人数充足，分工科学明确，专业程度高，工作经验优，整体水平较好的。得1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分。</w:t>
            </w:r>
          </w:p>
          <w:p w14:paraId="4263414A">
            <w:pPr>
              <w:pageBreakBefore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第二个档次(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-1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分):团队成员配置基本合理、工作经验良，整体水平一般的，基本能够满足服务需求，分工较为科学，具有一定的专业化服务能力：得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-1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分。</w:t>
            </w:r>
          </w:p>
          <w:p w14:paraId="33C4AA04">
            <w:pPr>
              <w:pageBreakBefore w:val="0"/>
              <w:spacing w:line="360" w:lineRule="auto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第三个档次(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分)团队成员配置简单、服务团队人数不足以满足服务需求，分工缺乏科学性，专业化程度低：得0-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分。</w:t>
            </w:r>
          </w:p>
        </w:tc>
      </w:tr>
      <w:tr w14:paraId="0556C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1107" w:hRule="atLeast"/>
          <w:jc w:val="center"/>
        </w:trPr>
        <w:tc>
          <w:tcPr>
            <w:tcW w:w="784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044B966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3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24CD808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B1D45DE">
            <w:pPr>
              <w:pageBreakBefore w:val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类似业绩</w:t>
            </w:r>
          </w:p>
          <w:p w14:paraId="344043B8">
            <w:pPr>
              <w:pageBreakBefore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noWrap w:val="0"/>
            <w:vAlign w:val="center"/>
          </w:tcPr>
          <w:p w14:paraId="57B82037">
            <w:pPr>
              <w:pageBreakBefore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</w:t>
            </w:r>
          </w:p>
        </w:tc>
        <w:tc>
          <w:tcPr>
            <w:tcW w:w="5093" w:type="dxa"/>
            <w:tcBorders>
              <w:tl2br w:val="nil"/>
              <w:tr2bl w:val="nil"/>
            </w:tcBorders>
            <w:noWrap w:val="0"/>
            <w:vAlign w:val="center"/>
          </w:tcPr>
          <w:p w14:paraId="11EEEF58">
            <w:pPr>
              <w:pageBreakBefore w:val="0"/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提供近3年类似项目业绩，每个得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分，最高得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分（需提供合同或中标通知书等有效证明材料）。</w:t>
            </w:r>
          </w:p>
        </w:tc>
      </w:tr>
      <w:tr w14:paraId="69248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1107" w:hRule="atLeast"/>
          <w:jc w:val="center"/>
        </w:trPr>
        <w:tc>
          <w:tcPr>
            <w:tcW w:w="7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5C2B3A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01E5498">
            <w:pPr>
              <w:pageBreakBefore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19E9A6">
            <w:pPr>
              <w:pageBreakBefore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企业资质</w:t>
            </w:r>
          </w:p>
        </w:tc>
        <w:tc>
          <w:tcPr>
            <w:tcW w:w="757" w:type="dxa"/>
            <w:tcBorders>
              <w:tl2br w:val="nil"/>
              <w:tr2bl w:val="nil"/>
            </w:tcBorders>
            <w:noWrap w:val="0"/>
            <w:vAlign w:val="center"/>
          </w:tcPr>
          <w:p w14:paraId="1E05B51B">
            <w:pPr>
              <w:pageBreakBefore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6分</w:t>
            </w:r>
          </w:p>
        </w:tc>
        <w:tc>
          <w:tcPr>
            <w:tcW w:w="5093" w:type="dxa"/>
            <w:tcBorders>
              <w:tl2br w:val="nil"/>
              <w:tr2bl w:val="nil"/>
            </w:tcBorders>
            <w:noWrap w:val="0"/>
            <w:vAlign w:val="center"/>
          </w:tcPr>
          <w:p w14:paraId="1A87DFA5">
            <w:pPr>
              <w:pageBreakBefore w:val="0"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具有相关行业资质证书，每提供一项得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分，最高得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分。</w:t>
            </w:r>
          </w:p>
        </w:tc>
      </w:tr>
      <w:tr w14:paraId="0D90A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1107" w:hRule="atLeast"/>
          <w:jc w:val="center"/>
        </w:trPr>
        <w:tc>
          <w:tcPr>
            <w:tcW w:w="9600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2BCC004">
            <w:pPr>
              <w:pageBreakBefore w:val="0"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备注：根据进入详细评审供应商的响应文件，对评分因素响应情况进行横向对比，分档打分，多家供应商响应情况一致时，可以按同一档次打分。</w:t>
            </w:r>
          </w:p>
        </w:tc>
      </w:tr>
    </w:tbl>
    <w:p w14:paraId="70299B43">
      <w:pPr>
        <w:pStyle w:val="2"/>
        <w:bidi w:val="0"/>
        <w:ind w:left="0" w:leftChars="0" w:firstLine="0" w:firstLineChars="0"/>
        <w:rPr>
          <w:rFonts w:hint="eastAsia" w:ascii="仿宋_GB2312" w:hAnsi="仿宋_GB2312" w:eastAsia="仿宋_GB2312" w:cs="仿宋_GB2312"/>
          <w:b/>
          <w:bCs/>
          <w:lang w:val="en-US" w:eastAsia="zh-CN"/>
        </w:rPr>
      </w:pPr>
    </w:p>
    <w:p w14:paraId="5FDA9AD8">
      <w:pPr>
        <w:pStyle w:val="2"/>
        <w:bidi w:val="0"/>
        <w:ind w:left="0" w:leftChars="0" w:firstLine="0" w:firstLineChars="0"/>
        <w:rPr>
          <w:rFonts w:hint="eastAsia" w:ascii="黑体" w:hAnsi="黑体" w:eastAsia="黑体" w:cs="黑体"/>
          <w:b/>
          <w:bCs/>
          <w:lang w:val="en-US" w:eastAsia="zh-CN"/>
        </w:rPr>
      </w:pPr>
    </w:p>
    <w:p w14:paraId="5898A0A9"/>
    <w:sectPr>
      <w:pgSz w:w="11906" w:h="16838"/>
      <w:pgMar w:top="2098" w:right="1474" w:bottom="1928" w:left="1587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2492A"/>
    <w:rsid w:val="130C4D8F"/>
    <w:rsid w:val="166B2506"/>
    <w:rsid w:val="1B505038"/>
    <w:rsid w:val="236E7F4C"/>
    <w:rsid w:val="30276F26"/>
    <w:rsid w:val="36162FFF"/>
    <w:rsid w:val="3E8A248B"/>
    <w:rsid w:val="4298580D"/>
    <w:rsid w:val="44806900"/>
    <w:rsid w:val="537566CD"/>
    <w:rsid w:val="53CB344E"/>
    <w:rsid w:val="57016C8D"/>
    <w:rsid w:val="5DB93D9B"/>
    <w:rsid w:val="5F1B224B"/>
    <w:rsid w:val="6962492A"/>
    <w:rsid w:val="697D1115"/>
    <w:rsid w:val="74654051"/>
    <w:rsid w:val="79C142AC"/>
    <w:rsid w:val="7B5F275E"/>
    <w:rsid w:val="7C82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line="560" w:lineRule="exact"/>
      <w:ind w:firstLine="883" w:firstLineChars="200"/>
      <w:outlineLvl w:val="0"/>
    </w:pPr>
    <w:rPr>
      <w:rFonts w:ascii="Calibri" w:hAnsi="Calibri" w:eastAsia="黑体"/>
      <w:bCs/>
      <w:kern w:val="44"/>
      <w:sz w:val="32"/>
      <w:szCs w:val="44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560" w:lineRule="exact"/>
      <w:ind w:firstLine="883" w:firstLineChars="200"/>
    </w:pPr>
    <w:rPr>
      <w:rFonts w:ascii="Calibri" w:hAnsi="Calibri" w:eastAsia="仿宋_GB2312"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6">
    <w:name w:val="Normal Indent"/>
    <w:basedOn w:val="1"/>
    <w:next w:val="1"/>
    <w:qFormat/>
    <w:uiPriority w:val="0"/>
    <w:pPr>
      <w:ind w:firstLine="420"/>
    </w:pPr>
    <w:rPr>
      <w:rFonts w:ascii="Times New Roman" w:hAnsi="Times New Roman" w:eastAsia="宋体" w:cs="Times New Roma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2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eastAsia="宋体"/>
      <w:sz w:val="2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2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360" w:lineRule="auto"/>
      <w:ind w:left="0" w:right="0" w:firstLine="420"/>
      <w:jc w:val="both"/>
    </w:pPr>
    <w:rPr>
      <w:rFonts w:ascii="Times New Roman" w:hAnsi="Times New Roman" w:cs="Times New Roman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2779</Words>
  <Characters>3023</Characters>
  <Lines>0</Lines>
  <Paragraphs>0</Paragraphs>
  <TotalTime>25</TotalTime>
  <ScaleCrop>false</ScaleCrop>
  <LinksUpToDate>false</LinksUpToDate>
  <CharactersWithSpaces>3156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2025-05-14T01:31:00Z</dcterms:created>
  <dc:creator>LYF</dc:creator>
  <cp:lastModifiedBy>悠幽</cp:lastModifiedBy>
  <dcterms:modified xsi:type="dcterms:W3CDTF">2025-05-28T07:29:17Z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eyJoZGlkIjoiYTRjYmM1NTUzYWJlZjFkNTQ5ZTkwZDA0YjFmMzA1NmIiLCJ1c2VySWQiOiIzOTUwMzA5MzAifQ==</vt:lpwstr>
  </property>
  <property fmtid="{D5CDD505-2E9C-101B-9397-08002B2CF9AE}" pid="4" name="ICV">
    <vt:lpwstr>053D712460B14C1DB1BB1E2AD70DB256_13</vt:lpwstr>
  </property>
</Properties>
</file>